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E-002256/2023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Milan Brglez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Frances Fitzgerald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Olivier Chastel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Marie Toussaint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Gabriele Bischoff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Dietmar Köster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Dan-Ştefan Motreanu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Vilija Blinkevičiūtė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Klemen Grošelj</w:t>
      </w:r>
      <w:r>
        <w:t xml:space="preserve"> (</w:t>
      </w:r>
      <w:r>
        <w:t>Renew</w:t>
      </w:r>
      <w:r>
        <w:t xml:space="preserve">), </w:t>
      </w:r>
      <w:r>
        <w:rPr>
          <w:rStyle w:val="Bold"/>
        </w:rPr>
        <w:t>Jordi Solé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Matjaž Nemec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Mounir Satouri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Estrella Durá Ferrandis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Lina Gálvez Muñoz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Agnes Jongerius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Ignazio Corrao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Marc Angel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Magdalena Adamowicz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Katarína Roth Neveďalová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Antoni Comín i Oliveres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Carles Puigdemont i Casamajó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Kim Van Sparrentak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Sara Cerdas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Radka Maxová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Marc Tarabella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Aurore Lalucq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Evelyn Regner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Damien Carême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Traian Băsescu</w:t>
      </w:r>
      <w:r>
        <w:t xml:space="preserve"> (</w:t>
      </w:r>
      <w:r>
        <w:t>PPE</w:t>
      </w:r>
      <w:r>
        <w:t xml:space="preserve">), </w:t>
      </w:r>
      <w:r>
        <w:rPr>
          <w:rStyle w:val="Bold"/>
        </w:rPr>
        <w:t>Sylwia Spurek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Anna Júlia Donáth</w:t>
      </w:r>
      <w:r>
        <w:t xml:space="preserve"> (</w:t>
      </w:r>
      <w:r>
        <w:t>Renew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Garantizar la seguridad y la salud de los trabajadores domésticos</w:t>
      </w:r>
    </w:p>
    <w:p>
      <w:pPr>
        <w:pStyle w:val="Body"/>
      </w:pPr>
      <w:r>
        <w:t>A pesar de su papel esencial, millones de trabajadores al servicio del hogar familiar en Europa, la mayoría de los cuales son mujeres, siguen careciendo de reconocimiento y no tienen acceso a derechos laborales fundamentales.</w:t>
      </w:r>
    </w:p>
    <w:p>
      <w:pPr>
        <w:pStyle w:val="Body"/>
      </w:pPr>
      <w:r>
        <w:t>La Directiva 89/391/CEE</w:t>
      </w:r>
      <w:r>
        <w:rPr>
          <w:rStyle w:val="FootnoteReference"/>
        </w:rPr>
        <w:footnoteReference w:id="0"/>
      </w:r>
      <w:r>
        <w:t xml:space="preserve"> supuso un hito en la mejora de la seguridad y la salud en el trabajo. Sin embargo, el artículo 3 de esta Directiva excluye explícitamente de su ámbito de aplicación a los «trabajadores al servicio del hogar familiar».</w:t>
      </w:r>
    </w:p>
    <w:p>
      <w:pPr>
        <w:pStyle w:val="Body"/>
      </w:pPr>
      <w:r>
        <w:t>El trabajo doméstico es peligroso. Los trabajadores están expuestos regularmente a productos químicos de limpieza nocivos y a retos ergonómicos. Excluir a los trabajadores domésticos de la Directiva 89/391/CEE es indefendible y éticamente inaceptable.</w:t>
      </w:r>
    </w:p>
    <w:p>
      <w:pPr>
        <w:pStyle w:val="Body"/>
      </w:pPr>
      <w:r>
        <w:t>La necesidad de reformar el ámbito de aplicación de la Directiva se señaló en la evaluación de la Comisión de las Directivas de la Unión en materia de salud y seguridad en el trabajo, de 10 de enero de 2017</w:t>
      </w:r>
      <w:r>
        <w:rPr>
          <w:rStyle w:val="FootnoteReference"/>
        </w:rPr>
        <w:footnoteReference w:id="1"/>
      </w:r>
      <w:r>
        <w:t>, en la que se afirma que «podría ser necesario reconsiderar la exclusión de los trabajadores al servicio del hogar familiar» de la Directiva.</w:t>
      </w:r>
    </w:p>
    <w:p>
      <w:pPr>
        <w:pStyle w:val="Body"/>
      </w:pPr>
      <w:r>
        <w:t>Además, la Resolución del Parlamento, de 5 de julio de 2022, sobre el fomento de una acción europea común en materia de cuidados</w:t>
      </w:r>
      <w:r>
        <w:rPr>
          <w:rStyle w:val="FootnoteReference"/>
        </w:rPr>
        <w:footnoteReference w:id="2"/>
      </w:r>
      <w:r>
        <w:t xml:space="preserve"> pedía una «revisión focalizada de la Directiva 89/391/CEE para garantizar la inclusión en su ámbito de aplicación de los trabajadores de servicios domésticos».</w:t>
      </w:r>
    </w:p>
    <w:p>
      <w:pPr>
        <w:pStyle w:val="itemList"/>
      </w:pPr>
      <w:r>
        <w:t>1)</w:t>
      </w:r>
      <w:r>
        <w:tab/>
      </w:r>
      <w:r>
        <w:t>En este contexto, ¿qué medidas tiene previsto adoptar la Comisión para garantizar que las disposiciones de la Directiva 89/391/CEE y las correspondientes Directivas específicas en materia de seguridad y salud se apliquen a los trabajadores domésticos/«trabajadores al servicio del hogar familiar»?</w:t>
      </w:r>
    </w:p>
    <w:p>
      <w:pPr>
        <w:pStyle w:val="Supporter"/>
      </w:pPr>
      <w:r>
        <w:rPr>
          <w:rStyle w:val="Bold"/>
        </w:rPr>
        <w:t>Apoyo</w:t>
      </w:r>
      <w:r>
        <w:rPr>
          <w:rStyle w:val="FootnoteReference"/>
        </w:rPr>
        <w:footnoteReference w:id="3"/>
      </w:r>
    </w:p>
    <w:p>
      <w:pPr>
        <w:pStyle w:val="Body"/>
      </w:pPr>
      <w:r>
        <w:t>Presentación:19.7.2023</w:t>
      </w:r>
    </w:p>
    <w:sectPr>
      <w:footerReference w:type="even" r:id="rId5"/>
      <w:footerReference w:type="default" r:id="rId6"/>
      <w:footerReference w:type="first" r:id="rId7"/>
      <w:pgSz w:w="11906" w:h="16838"/>
      <w:pgMar w:top="1440" w:right="1440" w:bottom="2000" w:left="1440" w:header="568" w:footer="568" w:gutter="0"/>
      <w:cols w:num="1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PE752.432v01-00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PE752.432v01-00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PE752.432v01-00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Directiva 89/391/CEE del Consejo, de 12 de junio de 1989, relativa a la aplicación de medidas para promover la mejora de la seguridad y de la salud de los trabajadores en el trabajo (DO L 183 de 29.6.1989, p. 1).</w:t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Documento de trabajo de los servicios de la Comisión, de 10 de enero de 2017, titulado «Ex-post evaluation of the EU occupational safety and health Directives (REFIT evaluation)» (Evaluación </w:t>
      </w:r>
      <w:r>
        <w:rPr>
          <w:rStyle w:val="Italic"/>
        </w:rPr>
        <w:t>ex post</w:t>
      </w:r>
      <w:r>
        <w:t xml:space="preserve"> de las Directivas de la UE sobre salud y seguridad en el trabajo (evaluación REFIT)) (SWD(2017)0010), que acompaña a la Comunicación de la Comisión de la misma fecha titulada «Trabajo más seguro y saludable para todos - Modernización de la legislación y las políticas de la UE de salud y seguridad en el trabajo» (COM(2017)0012).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DO C 47 de 7.2.2023, p. 30.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Esta pregunta está apoyada por otro diputado además de sus autores: Rosa D'Amato(Verts/ALE)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20230926-162024-008135-957081</vt:lpwstr>
  </property>
</Properties>
</file>