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CD" w:rsidRDefault="00A77B3E">
      <w:pPr>
        <w:pStyle w:val="Arial10"/>
      </w:pPr>
      <w:proofErr w:type="spellStart"/>
      <w:r>
        <w:rPr>
          <w:rStyle w:val="Bold"/>
        </w:rPr>
        <w:t>Pregunta</w:t>
      </w:r>
      <w:proofErr w:type="spellEnd"/>
      <w:r>
        <w:rPr>
          <w:rStyle w:val="Bold"/>
        </w:rPr>
        <w:t xml:space="preserve"> con </w:t>
      </w:r>
      <w:proofErr w:type="spellStart"/>
      <w:r>
        <w:rPr>
          <w:rStyle w:val="Bold"/>
        </w:rPr>
        <w:t>solicitud</w:t>
      </w:r>
      <w:proofErr w:type="spellEnd"/>
      <w:r>
        <w:rPr>
          <w:rStyle w:val="Bold"/>
        </w:rPr>
        <w:t xml:space="preserve"> de </w:t>
      </w:r>
      <w:proofErr w:type="spellStart"/>
      <w:r>
        <w:rPr>
          <w:rStyle w:val="Bold"/>
        </w:rPr>
        <w:t>respuesta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escrita</w:t>
      </w:r>
      <w:proofErr w:type="spellEnd"/>
      <w:r>
        <w:rPr>
          <w:rStyle w:val="Bold"/>
        </w:rPr>
        <w:t xml:space="preserve"> E-002401/2023</w:t>
      </w:r>
    </w:p>
    <w:p w:rsidR="00BB6ACD" w:rsidRDefault="00F826F9">
      <w:pPr>
        <w:pStyle w:val="Arial10"/>
      </w:pPr>
      <w:r>
        <w:rPr>
          <w:rStyle w:val="Bold"/>
        </w:rPr>
        <w:t xml:space="preserve">a la </w:t>
      </w:r>
      <w:proofErr w:type="spellStart"/>
      <w:r>
        <w:rPr>
          <w:rStyle w:val="Bold"/>
        </w:rPr>
        <w:t>Comisión</w:t>
      </w:r>
      <w:proofErr w:type="spellEnd"/>
    </w:p>
    <w:p w:rsidR="00BB6ACD" w:rsidRDefault="00F826F9">
      <w:pPr>
        <w:pStyle w:val="Arial10"/>
      </w:pPr>
      <w:proofErr w:type="spellStart"/>
      <w:r>
        <w:t>Artículo</w:t>
      </w:r>
      <w:proofErr w:type="spellEnd"/>
      <w:r>
        <w:t xml:space="preserve"> 138 del </w:t>
      </w:r>
      <w:proofErr w:type="spellStart"/>
      <w:r>
        <w:t>Reglamento</w:t>
      </w:r>
      <w:proofErr w:type="spellEnd"/>
      <w:r>
        <w:t xml:space="preserve"> </w:t>
      </w:r>
      <w:proofErr w:type="spellStart"/>
      <w:r>
        <w:t>interno</w:t>
      </w:r>
      <w:proofErr w:type="spellEnd"/>
    </w:p>
    <w:p w:rsidR="00BB6ACD" w:rsidRDefault="00F826F9">
      <w:pPr>
        <w:pStyle w:val="Arial10After10"/>
      </w:pPr>
      <w:r>
        <w:rPr>
          <w:rStyle w:val="Bold"/>
        </w:rPr>
        <w:t xml:space="preserve">Pina </w:t>
      </w:r>
      <w:proofErr w:type="spellStart"/>
      <w:r>
        <w:rPr>
          <w:rStyle w:val="Bold"/>
        </w:rPr>
        <w:t>Picierno</w:t>
      </w:r>
      <w:proofErr w:type="spellEnd"/>
      <w:r>
        <w:t xml:space="preserve"> (S&amp;D), </w:t>
      </w:r>
      <w:r>
        <w:rPr>
          <w:rStyle w:val="Bold"/>
        </w:rPr>
        <w:t xml:space="preserve">Brando </w:t>
      </w:r>
      <w:proofErr w:type="spellStart"/>
      <w:r>
        <w:rPr>
          <w:rStyle w:val="Bold"/>
        </w:rPr>
        <w:t>Benifei</w:t>
      </w:r>
      <w:proofErr w:type="spellEnd"/>
      <w:r>
        <w:t xml:space="preserve"> (S&amp;D), </w:t>
      </w:r>
      <w:r>
        <w:rPr>
          <w:rStyle w:val="Bold"/>
        </w:rPr>
        <w:t xml:space="preserve">Massimiliano </w:t>
      </w:r>
      <w:proofErr w:type="spellStart"/>
      <w:r>
        <w:rPr>
          <w:rStyle w:val="Bold"/>
        </w:rPr>
        <w:t>Smeriglio</w:t>
      </w:r>
      <w:proofErr w:type="spellEnd"/>
      <w:r>
        <w:t xml:space="preserve"> (S&amp;D), </w:t>
      </w:r>
      <w:r>
        <w:rPr>
          <w:rStyle w:val="Bold"/>
        </w:rPr>
        <w:t>Mercedes Bresso</w:t>
      </w:r>
      <w:r>
        <w:t xml:space="preserve"> (S&amp;D), </w:t>
      </w:r>
      <w:r>
        <w:rPr>
          <w:rStyle w:val="Bold"/>
        </w:rPr>
        <w:t xml:space="preserve">Beatrice </w:t>
      </w:r>
      <w:proofErr w:type="spellStart"/>
      <w:r>
        <w:rPr>
          <w:rStyle w:val="Bold"/>
        </w:rPr>
        <w:t>Covassi</w:t>
      </w:r>
      <w:proofErr w:type="spellEnd"/>
      <w:r>
        <w:t xml:space="preserve"> (S&amp;D), </w:t>
      </w:r>
      <w:r>
        <w:rPr>
          <w:rStyle w:val="Bold"/>
        </w:rPr>
        <w:t>Paolo De Castro</w:t>
      </w:r>
      <w:r>
        <w:t xml:space="preserve"> (S&amp;D), </w:t>
      </w:r>
      <w:proofErr w:type="spellStart"/>
      <w:r>
        <w:rPr>
          <w:rStyle w:val="Bold"/>
        </w:rPr>
        <w:t>Elisabetta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Gualmini</w:t>
      </w:r>
      <w:proofErr w:type="spellEnd"/>
      <w:r>
        <w:t xml:space="preserve"> (S&amp;D), </w:t>
      </w:r>
      <w:r>
        <w:rPr>
          <w:rStyle w:val="Bold"/>
        </w:rPr>
        <w:t xml:space="preserve">Camilla </w:t>
      </w:r>
      <w:proofErr w:type="spellStart"/>
      <w:r>
        <w:rPr>
          <w:rStyle w:val="Bold"/>
        </w:rPr>
        <w:t>Laureti</w:t>
      </w:r>
      <w:proofErr w:type="spellEnd"/>
      <w:r>
        <w:t xml:space="preserve"> (S&amp;D), </w:t>
      </w:r>
      <w:r>
        <w:rPr>
          <w:rStyle w:val="Bold"/>
        </w:rPr>
        <w:t>Alessandra Moretti</w:t>
      </w:r>
      <w:r>
        <w:t xml:space="preserve"> (S&amp;D), </w:t>
      </w:r>
      <w:r>
        <w:rPr>
          <w:rStyle w:val="Bold"/>
        </w:rPr>
        <w:t xml:space="preserve">Daniela </w:t>
      </w:r>
      <w:proofErr w:type="spellStart"/>
      <w:r>
        <w:rPr>
          <w:rStyle w:val="Bold"/>
        </w:rPr>
        <w:t>Rondinelli</w:t>
      </w:r>
      <w:proofErr w:type="spellEnd"/>
      <w:r>
        <w:t xml:space="preserve"> (S&amp;D), </w:t>
      </w:r>
      <w:r>
        <w:rPr>
          <w:rStyle w:val="Bold"/>
        </w:rPr>
        <w:t xml:space="preserve">Irene </w:t>
      </w:r>
      <w:proofErr w:type="spellStart"/>
      <w:r>
        <w:rPr>
          <w:rStyle w:val="Bold"/>
        </w:rPr>
        <w:t>Tinagli</w:t>
      </w:r>
      <w:proofErr w:type="spellEnd"/>
      <w:r>
        <w:t xml:space="preserve"> (S&amp;D), </w:t>
      </w:r>
      <w:proofErr w:type="spellStart"/>
      <w:r>
        <w:rPr>
          <w:rStyle w:val="Bold"/>
        </w:rPr>
        <w:t>Patrizia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Toia</w:t>
      </w:r>
      <w:proofErr w:type="spellEnd"/>
      <w:r>
        <w:t xml:space="preserve"> (S&amp;D), </w:t>
      </w:r>
      <w:proofErr w:type="spellStart"/>
      <w:r>
        <w:rPr>
          <w:rStyle w:val="Bold"/>
        </w:rPr>
        <w:t>Achille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Variati</w:t>
      </w:r>
      <w:proofErr w:type="spellEnd"/>
      <w:r>
        <w:t xml:space="preserve"> (S&amp;D), </w:t>
      </w:r>
      <w:proofErr w:type="spellStart"/>
      <w:r>
        <w:rPr>
          <w:rStyle w:val="Bold"/>
        </w:rPr>
        <w:t>Katalin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Cseh</w:t>
      </w:r>
      <w:proofErr w:type="spellEnd"/>
      <w:r>
        <w:t xml:space="preserve"> (Renew), </w:t>
      </w:r>
      <w:r>
        <w:rPr>
          <w:rStyle w:val="Bold"/>
        </w:rPr>
        <w:t xml:space="preserve">Ramona </w:t>
      </w:r>
      <w:proofErr w:type="spellStart"/>
      <w:r>
        <w:rPr>
          <w:rStyle w:val="Bold"/>
        </w:rPr>
        <w:t>Strugariu</w:t>
      </w:r>
      <w:proofErr w:type="spellEnd"/>
      <w:r>
        <w:t xml:space="preserve"> (Renew), </w:t>
      </w:r>
      <w:r>
        <w:rPr>
          <w:rStyle w:val="Bold"/>
        </w:rPr>
        <w:t>Anne-Sophie Pelletier</w:t>
      </w:r>
      <w:r>
        <w:t xml:space="preserve"> (The Left), </w:t>
      </w:r>
      <w:r>
        <w:rPr>
          <w:rStyle w:val="Bold"/>
        </w:rPr>
        <w:t>Eugenia</w:t>
      </w:r>
      <w:r>
        <w:rPr>
          <w:rStyle w:val="Bold"/>
        </w:rPr>
        <w:t xml:space="preserve"> Rodríguez </w:t>
      </w:r>
      <w:proofErr w:type="spellStart"/>
      <w:r>
        <w:rPr>
          <w:rStyle w:val="Bold"/>
        </w:rPr>
        <w:t>Palop</w:t>
      </w:r>
      <w:proofErr w:type="spellEnd"/>
      <w:r>
        <w:t xml:space="preserve"> (The Left), </w:t>
      </w:r>
      <w:r>
        <w:rPr>
          <w:rStyle w:val="Bold"/>
        </w:rPr>
        <w:t xml:space="preserve">Stelios </w:t>
      </w:r>
      <w:proofErr w:type="spellStart"/>
      <w:r>
        <w:rPr>
          <w:rStyle w:val="Bold"/>
        </w:rPr>
        <w:t>Kouloglou</w:t>
      </w:r>
      <w:proofErr w:type="spellEnd"/>
      <w:r>
        <w:t xml:space="preserve"> (The Left), </w:t>
      </w:r>
      <w:r>
        <w:rPr>
          <w:rStyle w:val="Bold"/>
        </w:rPr>
        <w:t>Karen Melchior</w:t>
      </w:r>
      <w:r>
        <w:t xml:space="preserve"> (Renew)</w:t>
      </w:r>
    </w:p>
    <w:p w:rsidR="00BB6ACD" w:rsidRDefault="00F826F9">
      <w:pPr>
        <w:pStyle w:val="Subject"/>
      </w:pPr>
      <w:proofErr w:type="spellStart"/>
      <w:r>
        <w:t>Asunto</w:t>
      </w:r>
      <w:proofErr w:type="spellEnd"/>
      <w:r>
        <w:t>:</w:t>
      </w:r>
      <w:r>
        <w:tab/>
      </w:r>
      <w:bookmarkStart w:id="0" w:name="_GoBack"/>
      <w:proofErr w:type="spellStart"/>
      <w:r>
        <w:t>Pluralismo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en Italia: el </w:t>
      </w:r>
      <w:proofErr w:type="spellStart"/>
      <w:r>
        <w:t>caso</w:t>
      </w:r>
      <w:proofErr w:type="spellEnd"/>
      <w:r>
        <w:t xml:space="preserve"> de Roberto Saviano y la RAI</w:t>
      </w:r>
      <w:bookmarkEnd w:id="0"/>
    </w:p>
    <w:p w:rsidR="00BB6ACD" w:rsidRDefault="00F826F9">
      <w:pPr>
        <w:pStyle w:val="Body"/>
      </w:pPr>
      <w:r>
        <w:t xml:space="preserve">El </w:t>
      </w:r>
      <w:proofErr w:type="spellStart"/>
      <w:r>
        <w:t>miércoles</w:t>
      </w:r>
      <w:proofErr w:type="spellEnd"/>
      <w:r>
        <w:t xml:space="preserve"> 26 de </w:t>
      </w:r>
      <w:proofErr w:type="spellStart"/>
      <w:r>
        <w:t>julio</w:t>
      </w:r>
      <w:proofErr w:type="spellEnd"/>
      <w:r>
        <w:t xml:space="preserve">, la RAI, el </w:t>
      </w:r>
      <w:proofErr w:type="spellStart"/>
      <w:r>
        <w:t>organismo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de </w:t>
      </w:r>
      <w:proofErr w:type="spellStart"/>
      <w:r>
        <w:t>radiodifusión</w:t>
      </w:r>
      <w:proofErr w:type="spellEnd"/>
      <w:r>
        <w:t xml:space="preserve"> </w:t>
      </w:r>
      <w:proofErr w:type="spellStart"/>
      <w:r>
        <w:t>italia</w:t>
      </w:r>
      <w:r>
        <w:t>no</w:t>
      </w:r>
      <w:proofErr w:type="spellEnd"/>
      <w:r>
        <w:t xml:space="preserve">, </w:t>
      </w:r>
      <w:proofErr w:type="spellStart"/>
      <w:r>
        <w:t>participado</w:t>
      </w:r>
      <w:proofErr w:type="spellEnd"/>
      <w:r>
        <w:t xml:space="preserve"> al 99 %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Ministerio</w:t>
      </w:r>
      <w:proofErr w:type="spellEnd"/>
      <w:r>
        <w:t xml:space="preserve"> de </w:t>
      </w:r>
      <w:proofErr w:type="spellStart"/>
      <w:r>
        <w:t>Economía</w:t>
      </w:r>
      <w:proofErr w:type="spellEnd"/>
      <w:r>
        <w:t xml:space="preserve"> y </w:t>
      </w:r>
      <w:proofErr w:type="spellStart"/>
      <w:r>
        <w:t>Finanzas</w:t>
      </w:r>
      <w:proofErr w:type="spellEnd"/>
      <w:r>
        <w:t xml:space="preserve">, </w:t>
      </w:r>
      <w:proofErr w:type="spellStart"/>
      <w:r>
        <w:t>anunció</w:t>
      </w:r>
      <w:proofErr w:type="spellEnd"/>
      <w:r>
        <w:t xml:space="preserve"> la </w:t>
      </w:r>
      <w:proofErr w:type="spellStart"/>
      <w:r>
        <w:t>cancelación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</w:t>
      </w:r>
      <w:r>
        <w:rPr>
          <w:rStyle w:val="Italic"/>
        </w:rPr>
        <w:t>Insider II</w:t>
      </w:r>
      <w:r>
        <w:t xml:space="preserve">, </w:t>
      </w:r>
      <w:proofErr w:type="spellStart"/>
      <w:r>
        <w:t>presentado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escritor</w:t>
      </w:r>
      <w:proofErr w:type="spellEnd"/>
      <w:r>
        <w:t xml:space="preserve"> </w:t>
      </w:r>
      <w:proofErr w:type="spellStart"/>
      <w:r>
        <w:t>antimafia</w:t>
      </w:r>
      <w:proofErr w:type="spellEnd"/>
      <w:r>
        <w:t xml:space="preserve"> Roberto Saviano. Saviano, que vive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</w:t>
      </w:r>
      <w:proofErr w:type="spellStart"/>
      <w:r>
        <w:t>policial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17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juzgado</w:t>
      </w:r>
      <w:proofErr w:type="spellEnd"/>
      <w:r>
        <w:t xml:space="preserve"> </w:t>
      </w:r>
      <w:proofErr w:type="spellStart"/>
      <w:r>
        <w:t>actua</w:t>
      </w:r>
      <w:r>
        <w:t>lmente</w:t>
      </w:r>
      <w:proofErr w:type="spellEnd"/>
      <w:r>
        <w:t xml:space="preserve"> y,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observadores</w:t>
      </w:r>
      <w:proofErr w:type="spellEnd"/>
      <w:r>
        <w:t xml:space="preserve">, </w:t>
      </w:r>
      <w:proofErr w:type="spellStart"/>
      <w:r>
        <w:t>organizaciones</w:t>
      </w:r>
      <w:proofErr w:type="spellEnd"/>
      <w:r>
        <w:t xml:space="preserve"> y </w:t>
      </w:r>
      <w:proofErr w:type="spellStart"/>
      <w:r>
        <w:t>periódicos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víctima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DECPP</w:t>
      </w:r>
      <w:r>
        <w:rPr>
          <w:rStyle w:val="FootnoteReference"/>
        </w:rPr>
        <w:footnoteReference w:id="1"/>
      </w:r>
      <w:r>
        <w:t xml:space="preserve">.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trataba</w:t>
      </w:r>
      <w:proofErr w:type="spellEnd"/>
      <w:r>
        <w:t xml:space="preserve"> sobre la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antimafia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periodistas</w:t>
      </w:r>
      <w:proofErr w:type="spellEnd"/>
      <w:r>
        <w:t xml:space="preserve"> </w:t>
      </w:r>
      <w:proofErr w:type="spellStart"/>
      <w:r>
        <w:t>perseguidos</w:t>
      </w:r>
      <w:proofErr w:type="spellEnd"/>
      <w:r>
        <w:t>.</w:t>
      </w:r>
    </w:p>
    <w:p w:rsidR="00BB6ACD" w:rsidRDefault="00F826F9">
      <w:pPr>
        <w:pStyle w:val="Body"/>
      </w:pPr>
      <w:r>
        <w:t xml:space="preserve">La RAI </w:t>
      </w:r>
      <w:proofErr w:type="spellStart"/>
      <w:r>
        <w:t>justificó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alegando</w:t>
      </w:r>
      <w:proofErr w:type="spellEnd"/>
      <w:r>
        <w:t xml:space="preserve"> que el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empleado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Saviano era inco</w:t>
      </w:r>
      <w:r>
        <w:t xml:space="preserve">mpatible con el </w:t>
      </w:r>
      <w:proofErr w:type="spellStart"/>
      <w:r>
        <w:t>código</w:t>
      </w:r>
      <w:proofErr w:type="spellEnd"/>
      <w:r>
        <w:t xml:space="preserve"> </w:t>
      </w:r>
      <w:proofErr w:type="spellStart"/>
      <w:r>
        <w:t>ético</w:t>
      </w:r>
      <w:proofErr w:type="spellEnd"/>
      <w:r>
        <w:t xml:space="preserve"> de la </w:t>
      </w:r>
      <w:proofErr w:type="spellStart"/>
      <w:r>
        <w:t>cadena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no </w:t>
      </w:r>
      <w:proofErr w:type="spellStart"/>
      <w:r>
        <w:t>aportó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que lo </w:t>
      </w:r>
      <w:proofErr w:type="spellStart"/>
      <w:r>
        <w:t>demostraran</w:t>
      </w:r>
      <w:proofErr w:type="spellEnd"/>
      <w:r>
        <w:t xml:space="preserve">.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decirse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,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revela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imparcialidad</w:t>
      </w:r>
      <w:proofErr w:type="spellEnd"/>
      <w:r>
        <w:t xml:space="preserve"> y </w:t>
      </w:r>
      <w:proofErr w:type="spellStart"/>
      <w:r>
        <w:t>va</w:t>
      </w:r>
      <w:proofErr w:type="spellEnd"/>
      <w:r>
        <w:t xml:space="preserve"> en contra del </w:t>
      </w:r>
      <w:proofErr w:type="spellStart"/>
      <w:r>
        <w:t>objetivo</w:t>
      </w:r>
      <w:proofErr w:type="spellEnd"/>
      <w:r>
        <w:t xml:space="preserve"> de </w:t>
      </w:r>
      <w:proofErr w:type="spellStart"/>
      <w:r>
        <w:t>garantizar</w:t>
      </w:r>
      <w:proofErr w:type="spellEnd"/>
      <w:r>
        <w:t xml:space="preserve"> el </w:t>
      </w:r>
      <w:proofErr w:type="spellStart"/>
      <w:r>
        <w:t>pluralismo</w:t>
      </w:r>
      <w:proofErr w:type="spellEnd"/>
      <w:r>
        <w:t xml:space="preserve"> </w:t>
      </w:r>
      <w:proofErr w:type="spellStart"/>
      <w:r>
        <w:t>informativo</w:t>
      </w:r>
      <w:proofErr w:type="spellEnd"/>
      <w:r>
        <w:t xml:space="preserve">, que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la pri</w:t>
      </w:r>
      <w:r>
        <w:t xml:space="preserve">ncipal </w:t>
      </w:r>
      <w:proofErr w:type="spellStart"/>
      <w:r>
        <w:t>razón</w:t>
      </w:r>
      <w:proofErr w:type="spellEnd"/>
      <w:r>
        <w:t xml:space="preserve"> de </w:t>
      </w:r>
      <w:proofErr w:type="spellStart"/>
      <w:r>
        <w:t>ser</w:t>
      </w:r>
      <w:proofErr w:type="spellEnd"/>
      <w:r>
        <w:t xml:space="preserve"> de un </w:t>
      </w:r>
      <w:proofErr w:type="spellStart"/>
      <w:r>
        <w:t>medio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. En vista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, del </w:t>
      </w:r>
      <w:proofErr w:type="spellStart"/>
      <w:r>
        <w:t>Informe</w:t>
      </w:r>
      <w:proofErr w:type="spellEnd"/>
      <w:r>
        <w:t xml:space="preserve"> sobre el Estado de </w:t>
      </w:r>
      <w:proofErr w:type="spellStart"/>
      <w:r>
        <w:t>Derecho</w:t>
      </w:r>
      <w:proofErr w:type="spellEnd"/>
      <w:r>
        <w:t xml:space="preserve"> en 2023</w:t>
      </w:r>
      <w:r>
        <w:rPr>
          <w:rStyle w:val="FootnoteReference"/>
        </w:rPr>
        <w:footnoteReference w:id="2"/>
      </w:r>
      <w:r>
        <w:t xml:space="preserve">, que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referencia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riesgos</w:t>
      </w:r>
      <w:proofErr w:type="spellEnd"/>
      <w:r>
        <w:t xml:space="preserve"> de </w:t>
      </w:r>
      <w:proofErr w:type="spellStart"/>
      <w:r>
        <w:t>influencia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y </w:t>
      </w:r>
      <w:proofErr w:type="spellStart"/>
      <w:r>
        <w:t>dependencia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del </w:t>
      </w:r>
      <w:proofErr w:type="spellStart"/>
      <w:r>
        <w:t>Gobierno</w:t>
      </w:r>
      <w:proofErr w:type="spellEnd"/>
      <w:r>
        <w:t xml:space="preserve"> sobre la RAI, y del </w:t>
      </w:r>
      <w:proofErr w:type="spellStart"/>
      <w:r>
        <w:t>hecho</w:t>
      </w:r>
      <w:proofErr w:type="spellEnd"/>
      <w:r>
        <w:t xml:space="preserve"> d</w:t>
      </w:r>
      <w:r>
        <w:t xml:space="preserve">e que Saviano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juzgado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difamación</w:t>
      </w:r>
      <w:proofErr w:type="spellEnd"/>
      <w:r>
        <w:t xml:space="preserve"> contra Matteo </w:t>
      </w:r>
      <w:proofErr w:type="spellStart"/>
      <w:r>
        <w:t>Salvini</w:t>
      </w:r>
      <w:proofErr w:type="spellEnd"/>
      <w:r>
        <w:t xml:space="preserve"> y </w:t>
      </w:r>
      <w:proofErr w:type="spellStart"/>
      <w:r>
        <w:t>Giorgia</w:t>
      </w:r>
      <w:proofErr w:type="spellEnd"/>
      <w:r>
        <w:t xml:space="preserve"> </w:t>
      </w:r>
      <w:proofErr w:type="spellStart"/>
      <w:r>
        <w:t>Meloni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editorial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obedecer</w:t>
      </w:r>
      <w:proofErr w:type="spellEnd"/>
      <w:r>
        <w:t xml:space="preserve"> a </w:t>
      </w:r>
      <w:proofErr w:type="spellStart"/>
      <w:r>
        <w:t>motivos</w:t>
      </w:r>
      <w:proofErr w:type="spellEnd"/>
      <w:r>
        <w:t xml:space="preserve"> </w:t>
      </w:r>
      <w:proofErr w:type="spellStart"/>
      <w:r>
        <w:t>políticos</w:t>
      </w:r>
      <w:proofErr w:type="spellEnd"/>
      <w:r>
        <w:t xml:space="preserve"> </w:t>
      </w:r>
      <w:proofErr w:type="spellStart"/>
      <w:r>
        <w:t>promovidos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Gobierno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>.</w:t>
      </w:r>
    </w:p>
    <w:p w:rsidR="00BB6ACD" w:rsidRDefault="00F826F9">
      <w:pPr>
        <w:pStyle w:val="itemList"/>
      </w:pPr>
      <w:r>
        <w:t>1.</w:t>
      </w:r>
      <w:r>
        <w:tab/>
        <w:t>¿</w:t>
      </w:r>
      <w:proofErr w:type="spellStart"/>
      <w:r>
        <w:t>Está</w:t>
      </w:r>
      <w:proofErr w:type="spellEnd"/>
      <w:r>
        <w:t xml:space="preserve"> la </w:t>
      </w:r>
      <w:proofErr w:type="spellStart"/>
      <w:r>
        <w:t>Comisión</w:t>
      </w:r>
      <w:proofErr w:type="spellEnd"/>
      <w:r>
        <w:t xml:space="preserve"> al </w:t>
      </w:r>
      <w:proofErr w:type="spellStart"/>
      <w:r>
        <w:t>corriente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>?</w:t>
      </w:r>
    </w:p>
    <w:p w:rsidR="00BB6ACD" w:rsidRDefault="00F826F9">
      <w:pPr>
        <w:pStyle w:val="itemList"/>
      </w:pPr>
      <w:r>
        <w:t>2.</w:t>
      </w:r>
      <w:r>
        <w:tab/>
      </w:r>
      <w:proofErr w:type="spellStart"/>
      <w:r>
        <w:t>Habida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r>
        <w:t xml:space="preserve">de la </w:t>
      </w:r>
      <w:proofErr w:type="spellStart"/>
      <w:r>
        <w:t>propuesta</w:t>
      </w:r>
      <w:proofErr w:type="spellEnd"/>
      <w:r>
        <w:t xml:space="preserve"> de la Ley </w:t>
      </w:r>
      <w:proofErr w:type="spellStart"/>
      <w:r>
        <w:t>Europea</w:t>
      </w:r>
      <w:proofErr w:type="spellEnd"/>
      <w:r>
        <w:t xml:space="preserve"> de Libertad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de Comunicación</w:t>
      </w:r>
      <w:r>
        <w:rPr>
          <w:rStyle w:val="FootnoteReference"/>
        </w:rPr>
        <w:footnoteReference w:id="3"/>
      </w:r>
      <w:r>
        <w:t>, ¿</w:t>
      </w:r>
      <w:proofErr w:type="spellStart"/>
      <w:r>
        <w:t>incumple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de la RAI el </w:t>
      </w:r>
      <w:proofErr w:type="spellStart"/>
      <w:r>
        <w:t>requisito</w:t>
      </w:r>
      <w:proofErr w:type="spellEnd"/>
      <w:r>
        <w:t xml:space="preserve"> de </w:t>
      </w:r>
      <w:proofErr w:type="spellStart"/>
      <w:r>
        <w:t>pluralismo</w:t>
      </w:r>
      <w:proofErr w:type="spellEnd"/>
      <w:r>
        <w:t xml:space="preserve"> </w:t>
      </w:r>
      <w:proofErr w:type="spellStart"/>
      <w:r>
        <w:t>informativo</w:t>
      </w:r>
      <w:proofErr w:type="spellEnd"/>
      <w:r>
        <w:t>?</w:t>
      </w:r>
    </w:p>
    <w:p w:rsidR="00BB6ACD" w:rsidRDefault="00F826F9">
      <w:pPr>
        <w:pStyle w:val="itemList"/>
      </w:pPr>
      <w:r>
        <w:t>3.</w:t>
      </w:r>
      <w:r>
        <w:tab/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adoptar</w:t>
      </w:r>
      <w:proofErr w:type="spellEnd"/>
      <w:r>
        <w:t xml:space="preserve"> la </w:t>
      </w:r>
      <w:proofErr w:type="spellStart"/>
      <w:r>
        <w:t>Comisión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infracción</w:t>
      </w:r>
      <w:proofErr w:type="spellEnd"/>
      <w:r>
        <w:t>?</w:t>
      </w:r>
    </w:p>
    <w:p w:rsidR="00BB6ACD" w:rsidRDefault="00F826F9">
      <w:pPr>
        <w:pStyle w:val="Body"/>
      </w:pPr>
      <w:proofErr w:type="spellStart"/>
      <w:r>
        <w:t>Presentación</w:t>
      </w:r>
      <w:proofErr w:type="spellEnd"/>
      <w:r>
        <w:t>: 4.8.2023</w:t>
      </w:r>
    </w:p>
    <w:sectPr w:rsidR="00BB6ACD">
      <w:footerReference w:type="even" r:id="rId6"/>
      <w:footerReference w:type="default" r:id="rId7"/>
      <w:footerReference w:type="first" r:id="rId8"/>
      <w:pgSz w:w="11906" w:h="16838"/>
      <w:pgMar w:top="1440" w:right="1440" w:bottom="2000" w:left="1440" w:header="568" w:footer="5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26F9">
      <w:pPr>
        <w:spacing w:after="0"/>
      </w:pPr>
      <w:r>
        <w:separator/>
      </w:r>
    </w:p>
  </w:endnote>
  <w:endnote w:type="continuationSeparator" w:id="0">
    <w:p w:rsidR="00000000" w:rsidRDefault="00F826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ACD" w:rsidRDefault="00F826F9">
    <w:pPr>
      <w:pStyle w:val="Footer"/>
    </w:pPr>
    <w:r>
      <w:tab/>
    </w:r>
    <w:r>
      <w:tab/>
      <w:t>PE753.110v01-00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ACD" w:rsidRDefault="00F826F9">
    <w:pPr>
      <w:pStyle w:val="Footer"/>
    </w:pPr>
    <w:r>
      <w:tab/>
    </w:r>
    <w:r>
      <w:tab/>
      <w:t>PE753.110v01-00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ACD" w:rsidRDefault="00F826F9">
    <w:pPr>
      <w:pStyle w:val="Footer"/>
    </w:pPr>
    <w:r>
      <w:tab/>
    </w:r>
    <w:r>
      <w:tab/>
      <w:t>PE753.110v01-00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26F9">
      <w:pPr>
        <w:spacing w:after="0"/>
      </w:pPr>
      <w:r>
        <w:separator/>
      </w:r>
    </w:p>
  </w:footnote>
  <w:footnote w:type="continuationSeparator" w:id="0">
    <w:p w:rsidR="00000000" w:rsidRDefault="00F826F9">
      <w:pPr>
        <w:spacing w:after="0"/>
      </w:pPr>
      <w:r>
        <w:continuationSeparator/>
      </w:r>
    </w:p>
  </w:footnote>
  <w:footnote w:id="1">
    <w:p w:rsidR="00BB6ACD" w:rsidRDefault="00F826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>
        <w:t>Demanda</w:t>
      </w:r>
      <w:proofErr w:type="spellEnd"/>
      <w:r>
        <w:t xml:space="preserve"> </w:t>
      </w:r>
      <w:proofErr w:type="spellStart"/>
      <w:r>
        <w:t>estratégica</w:t>
      </w:r>
      <w:proofErr w:type="spellEnd"/>
      <w:r>
        <w:t xml:space="preserve"> contra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>.</w:t>
      </w:r>
    </w:p>
  </w:footnote>
  <w:footnote w:id="2">
    <w:p w:rsidR="00BB6ACD" w:rsidRDefault="00F826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la </w:t>
      </w:r>
      <w:proofErr w:type="spellStart"/>
      <w:r>
        <w:t>Comisión</w:t>
      </w:r>
      <w:proofErr w:type="spellEnd"/>
      <w:r>
        <w:t xml:space="preserve">, de 5 de </w:t>
      </w:r>
      <w:proofErr w:type="spellStart"/>
      <w:r>
        <w:t>julio</w:t>
      </w:r>
      <w:proofErr w:type="spellEnd"/>
      <w:r>
        <w:t xml:space="preserve"> de 2023, </w:t>
      </w:r>
      <w:proofErr w:type="spellStart"/>
      <w:r>
        <w:t>titulado</w:t>
      </w:r>
      <w:proofErr w:type="spellEnd"/>
      <w:r>
        <w:t xml:space="preserve"> «2023 Rule of Law Report – Country Chapter on the rule of law situation in Italy» (</w:t>
      </w:r>
      <w:proofErr w:type="spellStart"/>
      <w:r>
        <w:t>Informe</w:t>
      </w:r>
      <w:proofErr w:type="spellEnd"/>
      <w:r>
        <w:t xml:space="preserve"> sobre el Estado de </w:t>
      </w:r>
      <w:proofErr w:type="spellStart"/>
      <w:r>
        <w:t>Derecho</w:t>
      </w:r>
      <w:proofErr w:type="spellEnd"/>
      <w:r>
        <w:t xml:space="preserve"> en 2023 – </w:t>
      </w:r>
      <w:proofErr w:type="spellStart"/>
      <w:r>
        <w:t>Capítulo</w:t>
      </w:r>
      <w:proofErr w:type="spellEnd"/>
      <w:r>
        <w:t xml:space="preserve"> sobre la </w:t>
      </w:r>
      <w:proofErr w:type="spellStart"/>
      <w:r>
        <w:t>situación</w:t>
      </w:r>
      <w:proofErr w:type="spellEnd"/>
      <w:r>
        <w:t xml:space="preserve"> del Estado de </w:t>
      </w:r>
      <w:proofErr w:type="spellStart"/>
      <w:r>
        <w:t>Derecho</w:t>
      </w:r>
      <w:proofErr w:type="spellEnd"/>
      <w:r>
        <w:t xml:space="preserve"> en Italia) [SWD (2023) 0812], que </w:t>
      </w:r>
      <w:proofErr w:type="spellStart"/>
      <w:r>
        <w:t>acompaña</w:t>
      </w:r>
      <w:proofErr w:type="spellEnd"/>
      <w:r>
        <w:t xml:space="preserve"> a la Comunicación de la </w:t>
      </w:r>
      <w:proofErr w:type="spellStart"/>
      <w:r>
        <w:t>Co</w:t>
      </w:r>
      <w:r>
        <w:t>misión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titulada</w:t>
      </w:r>
      <w:proofErr w:type="spellEnd"/>
      <w:r>
        <w:t xml:space="preserve"> «</w:t>
      </w:r>
      <w:proofErr w:type="spellStart"/>
      <w:r>
        <w:t>Informe</w:t>
      </w:r>
      <w:proofErr w:type="spellEnd"/>
      <w:r>
        <w:t xml:space="preserve"> sobre el Estado de </w:t>
      </w:r>
      <w:proofErr w:type="spellStart"/>
      <w:r>
        <w:t>Derecho</w:t>
      </w:r>
      <w:proofErr w:type="spellEnd"/>
      <w:r>
        <w:t xml:space="preserve"> en 2023» [COM (2023) 0800].</w:t>
      </w:r>
    </w:p>
  </w:footnote>
  <w:footnote w:id="3">
    <w:p w:rsidR="00BB6ACD" w:rsidRDefault="00F826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>
        <w:t>Propuesta</w:t>
      </w:r>
      <w:proofErr w:type="spellEnd"/>
      <w:r>
        <w:t xml:space="preserve"> de la </w:t>
      </w:r>
      <w:proofErr w:type="spellStart"/>
      <w:r>
        <w:t>Comisión</w:t>
      </w:r>
      <w:proofErr w:type="spellEnd"/>
      <w:r>
        <w:t xml:space="preserve">, de 16 de </w:t>
      </w:r>
      <w:proofErr w:type="spellStart"/>
      <w:r>
        <w:t>septiembre</w:t>
      </w:r>
      <w:proofErr w:type="spellEnd"/>
      <w:r>
        <w:t xml:space="preserve"> de 2022, de </w:t>
      </w:r>
      <w:proofErr w:type="spellStart"/>
      <w:r>
        <w:t>Reglamento</w:t>
      </w:r>
      <w:proofErr w:type="spellEnd"/>
      <w:r>
        <w:t xml:space="preserve"> del </w:t>
      </w:r>
      <w:proofErr w:type="spellStart"/>
      <w:r>
        <w:t>Parlamento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 y del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que se </w:t>
      </w:r>
      <w:proofErr w:type="spellStart"/>
      <w:r>
        <w:t>establece</w:t>
      </w:r>
      <w:proofErr w:type="spellEnd"/>
      <w:r>
        <w:t xml:space="preserve"> un </w:t>
      </w:r>
      <w:proofErr w:type="spellStart"/>
      <w:r>
        <w:t>marco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en el </w:t>
      </w:r>
      <w:proofErr w:type="spellStart"/>
      <w:r>
        <w:t>mercado</w:t>
      </w:r>
      <w:proofErr w:type="spellEnd"/>
      <w:r>
        <w:t xml:space="preserve"> interior (Ley </w:t>
      </w:r>
      <w:proofErr w:type="spellStart"/>
      <w:r>
        <w:t>Europea</w:t>
      </w:r>
      <w:proofErr w:type="spellEnd"/>
      <w:r>
        <w:t xml:space="preserve"> de Libertad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de Comunicación) y se </w:t>
      </w:r>
      <w:proofErr w:type="spellStart"/>
      <w:r>
        <w:t>modifica</w:t>
      </w:r>
      <w:proofErr w:type="spellEnd"/>
      <w:r>
        <w:t xml:space="preserve"> la </w:t>
      </w:r>
      <w:proofErr w:type="spellStart"/>
      <w:r>
        <w:t>Directiva</w:t>
      </w:r>
      <w:proofErr w:type="spellEnd"/>
      <w:r>
        <w:t xml:space="preserve"> 2010/13/UE (COM(2022)0457).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BB6ACD"/>
    <w:rsid w:val="00CA2A55"/>
    <w:rsid w:val="00F8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AC2B32-F0B3-425F-A426-F5CDC2AB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2E74B5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44546A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Pregunta con solicitud de respuesta escrita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FERNANDEZ SANCHEZ Maria</cp:lastModifiedBy>
  <cp:revision>2</cp:revision>
  <dcterms:created xsi:type="dcterms:W3CDTF">2023-12-08T16:26:00Z</dcterms:created>
  <dcterms:modified xsi:type="dcterms:W3CDTF">2023-12-08T16:26:00Z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20231120-084009-000290-691910</vt:lpwstr>
  </property>
</Properties>
</file>