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E-000206/2022/rev.1</w:t>
      </w:r>
    </w:p>
    <w:p>
      <w:pPr>
        <w:pStyle w:val="Arial10"/>
      </w:pPr>
      <w:r>
        <w:rPr>
          <w:rStyle w:val="Bold"/>
        </w:rPr>
        <w:t>a la Comisión</w:t>
      </w:r>
    </w:p>
    <w:p>
      <w:pPr>
        <w:pStyle w:val="Arial10"/>
      </w:pPr>
      <w:r>
        <w:t>Artículo 138 del Reglamento interno</w:t>
      </w:r>
    </w:p>
    <w:p>
      <w:pPr>
        <w:pStyle w:val="Arial10After10"/>
      </w:pPr>
      <w:r>
        <w:rPr>
          <w:rStyle w:val="Bold"/>
        </w:rPr>
        <w:t>Özlem Demirel</w:t>
      </w:r>
      <w:r>
        <w:t xml:space="preserve"> (</w:t>
      </w:r>
      <w:r>
        <w:t>The Left</w:t>
      </w:r>
      <w:r>
        <w:t xml:space="preserve">), </w:t>
      </w:r>
      <w:r>
        <w:rPr>
          <w:rStyle w:val="Bold"/>
        </w:rPr>
        <w:t>Clare Daly</w:t>
      </w:r>
      <w:r>
        <w:t xml:space="preserve"> (</w:t>
      </w:r>
      <w:r>
        <w:t>The Left</w:t>
      </w:r>
      <w:r>
        <w:t xml:space="preserve">), </w:t>
      </w:r>
      <w:r>
        <w:rPr>
          <w:rStyle w:val="Bold"/>
        </w:rPr>
        <w:t>Patrick Breyer</w:t>
      </w:r>
      <w:r>
        <w:t xml:space="preserve"> (</w:t>
      </w:r>
      <w:r>
        <w:t>Verts/ALE</w:t>
      </w:r>
      <w:r>
        <w:t xml:space="preserve">), </w:t>
      </w:r>
      <w:r>
        <w:rPr>
          <w:rStyle w:val="Bold"/>
        </w:rPr>
        <w:t>Eugenia Rodríguez Palop</w:t>
      </w:r>
      <w:r>
        <w:t xml:space="preserve"> (</w:t>
      </w:r>
      <w:r>
        <w:t>The Left</w:t>
      </w:r>
      <w:r>
        <w:t xml:space="preserve">), </w:t>
      </w:r>
      <w:r>
        <w:rPr>
          <w:rStyle w:val="Bold"/>
        </w:rPr>
        <w:t>Malin Björk</w:t>
      </w:r>
      <w:r>
        <w:t xml:space="preserve"> (</w:t>
      </w:r>
      <w:r>
        <w:t>The Left</w:t>
      </w:r>
      <w:r>
        <w:t xml:space="preserve">), </w:t>
      </w:r>
      <w:r>
        <w:rPr>
          <w:rStyle w:val="Bold"/>
        </w:rPr>
        <w:t>Sira Rego</w:t>
      </w:r>
      <w:r>
        <w:t xml:space="preserve"> (</w:t>
      </w:r>
      <w:r>
        <w:t>The Left</w:t>
      </w:r>
      <w:r>
        <w:t xml:space="preserve">), </w:t>
      </w:r>
      <w:r>
        <w:rPr>
          <w:rStyle w:val="Bold"/>
        </w:rPr>
        <w:t>Idoia Villanueva Ruiz</w:t>
      </w:r>
      <w:r>
        <w:t xml:space="preserve"> (</w:t>
      </w:r>
      <w:r>
        <w:t>The Left</w:t>
      </w:r>
      <w:r>
        <w:t xml:space="preserve">), </w:t>
      </w:r>
      <w:r>
        <w:rPr>
          <w:rStyle w:val="Bold"/>
        </w:rPr>
        <w:t>Anja Hazekamp</w:t>
      </w:r>
      <w:r>
        <w:t xml:space="preserve"> (</w:t>
      </w:r>
      <w:r>
        <w:t>The Left</w:t>
      </w:r>
      <w:r>
        <w:t xml:space="preserve">), </w:t>
      </w:r>
      <w:r>
        <w:rPr>
          <w:rStyle w:val="Bold"/>
        </w:rPr>
        <w:t>Damien Carême</w:t>
      </w:r>
      <w:r>
        <w:t xml:space="preserve"> (</w:t>
      </w:r>
      <w:r>
        <w:t>Verts/ALE</w:t>
      </w:r>
      <w:r>
        <w:t xml:space="preserve">), </w:t>
      </w:r>
      <w:r>
        <w:rPr>
          <w:rStyle w:val="Bold"/>
        </w:rPr>
        <w:t>Konstantinos Arvanitis</w:t>
      </w:r>
      <w:r>
        <w:t xml:space="preserve"> (</w:t>
      </w:r>
      <w:r>
        <w:t>The Left</w:t>
      </w:r>
      <w:r>
        <w:t xml:space="preserve">), </w:t>
      </w:r>
      <w:r>
        <w:rPr>
          <w:rStyle w:val="Bold"/>
        </w:rPr>
        <w:t>Cornelia Ernst</w:t>
      </w:r>
      <w:r>
        <w:t xml:space="preserve"> (</w:t>
      </w:r>
      <w:r>
        <w:t>The Left</w:t>
      </w:r>
      <w:r>
        <w:t xml:space="preserve">), </w:t>
      </w:r>
      <w:r>
        <w:rPr>
          <w:rStyle w:val="Bold"/>
        </w:rPr>
        <w:t>Manu Pineda</w:t>
      </w:r>
      <w:r>
        <w:t xml:space="preserve"> (</w:t>
      </w:r>
      <w:r>
        <w:t>The Left</w:t>
      </w:r>
      <w:r>
        <w:t xml:space="preserve">), </w:t>
      </w:r>
      <w:r>
        <w:rPr>
          <w:rStyle w:val="Bold"/>
        </w:rPr>
        <w:t>Martin Schirdewan</w:t>
      </w:r>
      <w:r>
        <w:t xml:space="preserve"> (</w:t>
      </w:r>
      <w:r>
        <w:t>The Left</w:t>
      </w:r>
      <w:r>
        <w:t xml:space="preserve">), </w:t>
      </w:r>
      <w:r>
        <w:rPr>
          <w:rStyle w:val="Bold"/>
        </w:rPr>
        <w:t>Nikolaj Villumsen</w:t>
      </w:r>
      <w:r>
        <w:t xml:space="preserve"> (</w:t>
      </w:r>
      <w:r>
        <w:t>The Left</w:t>
      </w:r>
      <w:r>
        <w:t xml:space="preserve">), </w:t>
      </w:r>
      <w:r>
        <w:rPr>
          <w:rStyle w:val="Bold"/>
        </w:rPr>
        <w:t>Anne-Sophie Pelletier</w:t>
      </w:r>
      <w:r>
        <w:t xml:space="preserve"> (</w:t>
      </w:r>
      <w:r>
        <w:t>The Left</w:t>
      </w:r>
      <w:r>
        <w:t xml:space="preserve">), </w:t>
      </w:r>
      <w:r>
        <w:rPr>
          <w:rStyle w:val="Bold"/>
        </w:rPr>
        <w:t>Stelios Kouloglou</w:t>
      </w:r>
      <w:r>
        <w:t xml:space="preserve"> (</w:t>
      </w:r>
      <w:r>
        <w:t>The Left</w:t>
      </w:r>
      <w:r>
        <w:t>)</w:t>
      </w:r>
    </w:p>
    <w:p>
      <w:pPr>
        <w:pStyle w:val="Subject"/>
      </w:pPr>
      <w:r>
        <w:t>Asunto</w:t>
      </w:r>
      <w:r>
        <w:t>:</w:t>
      </w:r>
      <w:r>
        <w:tab/>
      </w:r>
      <w:r>
        <w:t>Fronteras de la UE — Software de reconocimiento de dialectos desarrollado por Atos</w:t>
      </w:r>
    </w:p>
    <w:p>
      <w:pPr>
        <w:pStyle w:val="Body"/>
      </w:pPr>
      <w:r>
        <w:t>Para determinar la identidad y el origen de los solicitantes de asilo, la Oficina Federal de Migración y Refugiados (BAMF) de Alemania utiliza sistemas informáticos de asistencia consistentes en programas de reconocimiento de dialectos, un asistente de transliteración y un análisis de los dispositivos móviles de los solicitantes de asilo. El desarrollo de estos programas fue impulsado conjuntamente por Nuance y su sociedad matriz Atos SE. Atos también participa en el análisis de los datos de los teléfonos móviles de los solicitantes.</w:t>
      </w:r>
    </w:p>
    <w:p>
      <w:pPr>
        <w:pStyle w:val="itemList"/>
      </w:pPr>
      <w:r>
        <w:t>1.</w:t>
      </w:r>
      <w:r>
        <w:tab/>
      </w:r>
      <w:r>
        <w:t>¿Utilizan también Frontex u otras agencias este programa de reconocimiento de dialectos para determinar identidades? En caso afirmativo, ¿podría la Comisión facilitar la información, indicando las empresas que suministran el software y dónde se utiliza (por país)?</w:t>
      </w:r>
    </w:p>
    <w:p>
      <w:pPr>
        <w:pStyle w:val="itemList"/>
      </w:pPr>
      <w:r>
        <w:t>2.</w:t>
      </w:r>
      <w:r>
        <w:tab/>
      </w:r>
      <w:r>
        <w:t>¿En cuántos casos el análisis con el software de reconocimiento de dialectos contradijo la información facilitada por los solicitantes de asilo? ¿Cuántas solicitudes fueron rechazadas sobre la base del análisis de dialectos y qué lenguas maternas se analizaron? ¿Podría la Comisión facilitar la información desglosada por autoridad, año y lengua materna?</w:t>
      </w:r>
    </w:p>
    <w:p>
      <w:pPr>
        <w:pStyle w:val="itemList"/>
      </w:pPr>
      <w:r>
        <w:t>3.</w:t>
      </w:r>
      <w:r>
        <w:tab/>
      </w:r>
      <w:r>
        <w:t>Durante el desarrollo del software, el actual comisario de Mercado Interior y Servicios, Thierry Breton, era todavía presidente y director ejecutivo de Atos. ¿Participó Thierry Breton en reuniones con funcionarios de la UE relacionadas con los sistemas informáticos de asistencia? ¿Participó el Sr. Breton en la obtención de financiación de la UE para el software de Atos?</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PE704.168v02-00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PE704.168v02-00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PE704.168v02-00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20220603-093020-008315-089453</vt:lpwstr>
  </property>
</Properties>
</file>