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Pregunta prioritaria con solicitud de respuesta escrita P-005555/2020</w:t>
      </w:r>
    </w:p>
    <w:p>
      <w:pPr>
        <w:pStyle w:val="Arial10"/>
      </w:pPr>
      <w:r>
        <w:rPr>
          <w:rStyle w:val="Bold"/>
        </w:rPr>
        <w:t>a la Comisión</w:t>
      </w:r>
    </w:p>
    <w:p>
      <w:pPr>
        <w:pStyle w:val="Arial10"/>
      </w:pPr>
      <w:r>
        <w:t>Artículo 138 del Reglamento interno</w:t>
      </w:r>
    </w:p>
    <w:p>
      <w:pPr>
        <w:pStyle w:val="Arial10After10"/>
      </w:pPr>
      <w:r>
        <w:rPr>
          <w:rStyle w:val="Bold"/>
        </w:rPr>
        <w:t>Manon Aubry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Saskia Bricmont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Maria Arena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Manuel Bompard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Jutta Paulus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Nikolaj Villumsen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Anna Cavazzini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Aurore Lalucq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Anne-Sophie Pelletier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Emmanuel Maurel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Silvia Modig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Leila Chaibi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Raphaël Glucksmann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Miguel Urbán Crespo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Philippe Lamberts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Pascal Durand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Ville Niinistö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Pernando Barrena Arza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Marc Botenga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Cornelia Ernst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Marie Toussaint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Martin Buschmann</w:t>
      </w:r>
      <w:r>
        <w:t xml:space="preserve"> (</w:t>
      </w:r>
      <w:r>
        <w:t>NI</w:t>
      </w:r>
      <w:r>
        <w:t xml:space="preserve">), </w:t>
      </w:r>
      <w:r>
        <w:rPr>
          <w:rStyle w:val="Bold"/>
        </w:rPr>
        <w:t>Eugenia Rodríguez Palop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Claude Gruffat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Ernest Urtasun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Bas Eickhout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Eleonora Evi</w:t>
      </w:r>
      <w:r>
        <w:t xml:space="preserve"> (</w:t>
      </w:r>
      <w:r>
        <w:t>NI</w:t>
      </w:r>
      <w:r>
        <w:t xml:space="preserve">), </w:t>
      </w:r>
      <w:r>
        <w:rPr>
          <w:rStyle w:val="Bold"/>
        </w:rPr>
        <w:t>Marc Angel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Milan Brglez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Alviina Alametsä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Tilly Metz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Piernicola Pedicini</w:t>
      </w:r>
      <w:r>
        <w:t xml:space="preserve"> (</w:t>
      </w:r>
      <w:r>
        <w:t>NI</w:t>
      </w:r>
      <w:r>
        <w:t xml:space="preserve">), </w:t>
      </w:r>
      <w:r>
        <w:rPr>
          <w:rStyle w:val="Bold"/>
        </w:rPr>
        <w:t>Younous Omarjee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Manu Pineda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Sira Rego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Manuela Ripa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Karima Delli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Mounir Satouri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David Cormand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Jakop G. Dalunde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Pär Holmgren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Michael Bloss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Idoia Villanueva Ruiz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Henrike Hahn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Petros Kokkalis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Konstantinos Arvanitis</w:t>
      </w:r>
      <w:r>
        <w:t xml:space="preserve"> (</w:t>
      </w:r>
      <w:r>
        <w:t>GUE/NGL</w:t>
      </w:r>
      <w:r>
        <w:t xml:space="preserve">), </w:t>
      </w:r>
      <w:r>
        <w:rPr>
          <w:rStyle w:val="Bold"/>
        </w:rPr>
        <w:t>Clara Ponsatí Obiols</w:t>
      </w:r>
      <w:r>
        <w:t xml:space="preserve"> (</w:t>
      </w:r>
      <w:r>
        <w:t>NI</w:t>
      </w:r>
      <w:r>
        <w:t xml:space="preserve">), </w:t>
      </w:r>
      <w:r>
        <w:rPr>
          <w:rStyle w:val="Bold"/>
        </w:rPr>
        <w:t>Antoni Comín i Oliveres</w:t>
      </w:r>
      <w:r>
        <w:t xml:space="preserve"> (</w:t>
      </w:r>
      <w:r>
        <w:t>NI</w:t>
      </w:r>
      <w:r>
        <w:t>)</w:t>
      </w:r>
    </w:p>
    <w:p>
      <w:pPr>
        <w:pStyle w:val="Subject"/>
      </w:pPr>
      <w:r>
        <w:t>Asunto</w:t>
      </w:r>
      <w:r>
        <w:t>:</w:t>
      </w:r>
      <w:r>
        <w:tab/>
      </w:r>
      <w:r>
        <w:t>Renegociación del Tratado sobre la Carta de la Energía: adaptación al Acuerdo de París antes de la COP de 2021 y próximas etapas previstas por la Unión</w:t>
      </w:r>
    </w:p>
    <w:p>
      <w:pPr>
        <w:pStyle w:val="Body"/>
      </w:pPr>
      <w:r>
        <w:t>El Pacto Verde Europeo establece el objetivo de lograr la neutralidad en carbono de aquí a 2050. Alcanzar este objetivo, que requiere una profunda transición energética, es fundamental para frenar el calentamiento global y preservar nuestro futuro.</w:t>
      </w:r>
    </w:p>
    <w:p>
      <w:pPr>
        <w:pStyle w:val="Body"/>
      </w:pPr>
      <w:r>
        <w:t>Sin embargo, la Unión Europea y la mayoría de los Estados miembros son partes en el Tratado sobre la Carta de la Energía, que podría proteger 2,15 billones de euros en inversiones en combustibles fósiles de aquí a 2050 frente a las políticas públicas destinadas a su eliminación progresiva.</w:t>
      </w:r>
    </w:p>
    <w:p>
      <w:pPr>
        <w:pStyle w:val="Body"/>
      </w:pPr>
      <w:r>
        <w:t>El Tratado socava cualquier intento reglamentario de cambiar el rumbo del consumo de combustibles fósiles y obliga a los ciudadanos de la Unión a pagar por el seguro de vida de los inversores en combustibles fósiles. Aunque está en curso un «proceso de modernización», es muy probable que el llamamiento de la Unión a la adaptación del Tratado al Acuerdo de París no logre alcanzar la unanimidad entre todas las partes.</w:t>
      </w:r>
    </w:p>
    <w:p>
      <w:pPr>
        <w:pStyle w:val="itemList"/>
      </w:pPr>
      <w:r>
        <w:t>1.</w:t>
      </w:r>
      <w:r>
        <w:tab/>
      </w:r>
      <w:r>
        <w:t>Teniendo en cuenta que se necesita urgentemente una reforma sustancial, ¿tiene la Unión previsto un plazo para el proceso de modernización en curso y evitar que se prolongue?</w:t>
      </w:r>
    </w:p>
    <w:p>
      <w:pPr>
        <w:pStyle w:val="itemList"/>
      </w:pPr>
      <w:r>
        <w:t>2.</w:t>
      </w:r>
      <w:r>
        <w:tab/>
      </w:r>
      <w:r>
        <w:t>La Unión está obligada a presentar su contribución determinada reforzada al Acuerdo de París en la Conferencia de las Partes (COP) de noviembre de 2021 en Glasgow. ¿Se comprometerá a retirarse del Tratado sobre la Carta de la Energía, como hizo Italia en 2016, si para entonces el proceso de modernización no logra adaptar el Tratado al Acuerdo de París?</w:t>
      </w:r>
    </w:p>
    <w:sectPr>
      <w:footerReference w:type="even" r:id="rId4"/>
      <w:footerReference w:type="default" r:id="rId5"/>
      <w:footerReference w:type="first" r:id="rId6"/>
      <w:pgSz w:w="11906" w:h="16838"/>
      <w:pgMar w:top="1440" w:right="1440" w:bottom="2000" w:left="1440" w:header="568" w:footer="568" w:gutter="0"/>
      <w:cols w:num="1"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PE659.745v01-00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PE659.745v01-00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PE659.745v01-00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prioritaria con solicitud de respuesta escrita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20201202-171044-000634-410567</vt:lpwstr>
  </property>
</Properties>
</file>