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E-000466/2021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Marc Botenga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Clare Daly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Mick Wallace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Manuel Bompard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Niyazi Kizilyürek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Pernando Barrena Arza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Petros Kokkalis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Martina Michels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Anne-Sophie Pelletier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Chris MacManus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Giorgos Georgiou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Pertinencia de la puesta en común voluntaria y la concesión de licencias voluntarias sobre la propiedad intelectual relacionada con la terapia y la vacunación contra la COVID‑19</w:t>
      </w:r>
    </w:p>
    <w:p>
      <w:pPr>
        <w:pStyle w:val="Body"/>
      </w:pPr>
      <w:r>
        <w:t>En su respuesta a la pregunta escrita E-004464/2020</w:t>
      </w:r>
      <w:r>
        <w:rPr>
          <w:rStyle w:val="FootnoteReference"/>
        </w:rPr>
        <w:footnoteReference w:id="0"/>
      </w:r>
      <w:r>
        <w:t xml:space="preserve"> y en el Plan de acción de la UE sobre los derechos de propiedad intelectual, la Comisión promueve la puesta en común voluntaria y la concesión de licencias voluntarias sobre la propiedad intelectual relacionada con la terapia y la vacunación contra la COVID‑19. Sin embargo, el Gobierno de Sudáfrica ha cuestionado en el seno de la OMC la pertinencia de estas medidas</w:t>
      </w:r>
      <w:r>
        <w:rPr>
          <w:rStyle w:val="FootnoteReference"/>
        </w:rPr>
        <w:footnoteReference w:id="1"/>
      </w:r>
      <w:r>
        <w:t>. Para que la concesión de licencias voluntarias tenga efectos reales en el caso de la COVID-19, las licencias deben ser de alcance mundial. Se pide a la Comisión que conteste a lo siguiente:</w:t>
      </w:r>
    </w:p>
    <w:p>
      <w:pPr>
        <w:pStyle w:val="itemList"/>
      </w:pPr>
      <w:r>
        <w:t>1.</w:t>
      </w:r>
      <w:r>
        <w:tab/>
      </w:r>
      <w:r>
        <w:t>¿Puede confirmar la Comisión que varios acuerdos de concesión de licencias voluntarias celebrados por empresas europeas excluyen a la mitad de la población mundial del suministro y que esos acuerdos únicamente conceden licencias a unos pocos productores concretos?</w:t>
      </w:r>
    </w:p>
    <w:p>
      <w:pPr>
        <w:pStyle w:val="itemList"/>
      </w:pPr>
      <w:r>
        <w:t>2.</w:t>
      </w:r>
      <w:r>
        <w:tab/>
      </w:r>
      <w:r>
        <w:t>¿Puede confirmar la Comisión que las condiciones integrales de esas licencias siguen siendo confidenciales?</w:t>
      </w:r>
    </w:p>
    <w:p>
      <w:pPr>
        <w:pStyle w:val="itemList"/>
      </w:pPr>
      <w:r>
        <w:t>3.</w:t>
      </w:r>
      <w:r>
        <w:tab/>
      </w:r>
      <w:r>
        <w:t>¿Puede explicar la Comisión por qué esas licencias voluntarias incluyen límites geográficos, al limitar el suministro tan solo a los países de renta media y baja, excluyendo así del suministro a otros países en desarrollo?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PE666.953v01-00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PE666.953v01-00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PE666.953v01-00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https://www.europarl.europa.eu/doceo/document/E-9-2020-004464-ASW_EN.html (https://www.europarl.europa.eu/doceo/document/E-9-2020-004464-ASW_EN.html)</w:t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https://docs.wto.org/dol2fe/Pages/SS/directdoc.aspx?filename=q:/IP/C/W674.pdf&amp;Open=True (https://docs.wto.org/dol2fe/Pages/SS/directdoc.aspx?filename=q:/IP/C/W674.pdf&amp;Open=True)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20210414-140039-020471-970827</vt:lpwstr>
  </property>
</Properties>
</file>