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prioritaria con solicitud de respuesta escrita P-002270/2021</w:t>
      </w:r>
    </w:p>
    <w:p>
      <w:pPr>
        <w:pStyle w:val="Arial10"/>
      </w:pPr>
      <w:r>
        <w:rPr>
          <w:rStyle w:val="Bold"/>
        </w:rPr>
        <w:t>al Consejo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Pierre Larrouturou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Cindy Franssen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Rasmus Andresen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Olivier Chastel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Nora Mebarek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Saskia Bricmont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Petros Kokkalis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Jonás Fernández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Giuliano Pisapia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Pascal Arimont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Marie Toussaint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Marc Angel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Sylvie Guillaume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Niels Fuglsang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Manon Aubry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Benoît Lutgen</w:t>
      </w:r>
      <w:r>
        <w:t xml:space="preserve"> (</w:t>
      </w:r>
      <w:r>
        <w:t>PPE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Para ganar la batalla del clima, el empleo y la salud, adopción sin demora de un impuesto sobre la especulación financiera por parte de países pioneros</w:t>
      </w:r>
    </w:p>
    <w:p>
      <w:pPr>
        <w:pStyle w:val="Body"/>
      </w:pPr>
      <w:r>
        <w:t xml:space="preserve">El Parlamento, en su Resolución P9_TA(2020)0305, apoya «un impuesto sobre las transacciones financieras, que, sobre la base de la propuesta original de la Comisión [y a pesar d]el </w:t>
      </w:r>
      <w:r>
        <w:rPr>
          <w:rStyle w:val="Italic"/>
        </w:rPr>
        <w:t>Brexit</w:t>
      </w:r>
      <w:r>
        <w:t xml:space="preserve"> [...], podría recaudar hasta los 57 000 000 000 EUR al año [...]</w:t>
      </w:r>
      <w:r>
        <w:rPr>
          <w:rStyle w:val="FootnoteReference"/>
        </w:rPr>
        <w:footnoteReference w:id="0"/>
      </w:r>
      <w:r>
        <w:t xml:space="preserve">. </w:t>
      </w:r>
    </w:p>
    <w:p>
      <w:pPr>
        <w:pStyle w:val="Body"/>
      </w:pPr>
      <w:r>
        <w:t>Dicha Resolución muestra que el impuesto sobre las transacciones financieras puede generar unos ingresos superiores a la suma de los otros cinco recursos previstos y puede cumplir tres objetivos:</w:t>
      </w:r>
    </w:p>
    <w:p>
      <w:pPr>
        <w:pStyle w:val="Body"/>
      </w:pPr>
      <w:r>
        <w:t>evitar una recesión después del plan de recuperación;</w:t>
      </w:r>
    </w:p>
    <w:p>
      <w:pPr>
        <w:pStyle w:val="Body"/>
      </w:pPr>
      <w:r>
        <w:t>reembolsar el plan y facilitar así su ratificación en los Parlamentos nacionales;</w:t>
      </w:r>
    </w:p>
    <w:p>
      <w:pPr>
        <w:pStyle w:val="Body"/>
      </w:pPr>
      <w:r>
        <w:t>financiar el Pacto Verde.</w:t>
      </w:r>
    </w:p>
    <w:p>
      <w:pPr>
        <w:pStyle w:val="Body"/>
      </w:pPr>
      <w:r>
        <w:t>Por ello el Parlamento ha pedido el impuesto sobre las transacciones financiera a partir de 2024</w:t>
      </w:r>
      <w:r>
        <w:rPr>
          <w:rStyle w:val="FootnoteReference"/>
        </w:rPr>
        <w:footnoteReference w:id="1"/>
      </w:r>
      <w:r>
        <w:t>, una declaración de la Comisión plantea el objetivo de un acuerdo de cooperación reforzada sobre el impuesto sobre las transacciones financieras para 2022</w:t>
      </w:r>
      <w:r>
        <w:rPr>
          <w:rStyle w:val="FootnoteReference"/>
        </w:rPr>
        <w:footnoteReference w:id="2"/>
      </w:r>
      <w:r>
        <w:t xml:space="preserve"> y la Presidencia del Consejo propone un camino a seguir en una nota del 12 de febrero</w:t>
      </w:r>
      <w:r>
        <w:rPr>
          <w:rStyle w:val="FootnoteReference"/>
        </w:rPr>
        <w:footnoteReference w:id="3"/>
      </w:r>
      <w:r>
        <w:t>, debatida en el Consejo el 24 de febrero de 2021.</w:t>
      </w:r>
    </w:p>
    <w:p>
      <w:pPr>
        <w:pStyle w:val="itemList"/>
      </w:pPr>
      <w:r>
        <w:t>1.</w:t>
      </w:r>
      <w:r>
        <w:tab/>
      </w:r>
      <w:r>
        <w:t>Entre los diez Estados miembros de la cooperación reforzada, ¿hay alguno que no apoye esta propuesta de la Presidencia? ¿Cuál?</w:t>
      </w:r>
    </w:p>
    <w:p>
      <w:pPr>
        <w:pStyle w:val="itemList"/>
      </w:pPr>
      <w:r>
        <w:t>2.</w:t>
      </w:r>
      <w:r>
        <w:tab/>
      </w:r>
      <w:r>
        <w:t>¿Responderán los Estados miembros positivamente a la petición del Parlamento y adoptarán una primera versión del impuesto sobre las transacciones financieras entre los países pioneros en la próxima reunión del Consejo de Asuntos Económicos y Financieros?</w:t>
      </w:r>
    </w:p>
    <w:p>
      <w:pPr>
        <w:pStyle w:val="itemList"/>
      </w:pPr>
      <w:r>
        <w:t>3.</w:t>
      </w:r>
      <w:r>
        <w:tab/>
      </w:r>
      <w:r>
        <w:t>De aquí a 2024, ¿establecerán un auténtico impuesto sobre las transacciones financieras que genere 50 000 millones de euros al año?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PE693.035v01-00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PE693.035v01-00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PE693.035v01-00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https://www.europarl.europa.eu/doceo/document/TA-9-2020-0305_ES.html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https://www.europarl.europa.eu/doceo/document/TA-9-2020-0220_ES.html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https://data.consilium.europa.eu/doc/document/ST-14129-2020-INIT/es/pdf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https://agenceurope.eu/fr/bulletin/article/12658/1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prioritaria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20210624-121021-413796-493972</vt:lpwstr>
  </property>
</Properties>
</file>