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E-004183/2021</w:t>
      </w:r>
    </w:p>
    <w:p>
      <w:pPr>
        <w:pStyle w:val="Arial10"/>
      </w:pPr>
      <w:r>
        <w:rPr>
          <w:rStyle w:val="Bold"/>
        </w:rPr>
        <w:t>a la Comisión</w:t>
      </w:r>
    </w:p>
    <w:p>
      <w:pPr>
        <w:pStyle w:val="Arial10"/>
      </w:pPr>
      <w:r>
        <w:t>Artículo 138 del Reglamento interno</w:t>
      </w:r>
    </w:p>
    <w:p>
      <w:pPr>
        <w:pStyle w:val="Arial10After10"/>
      </w:pPr>
      <w:r>
        <w:rPr>
          <w:rStyle w:val="Bold"/>
        </w:rPr>
        <w:t>Konstantinos Arvanitis</w:t>
      </w:r>
      <w:r>
        <w:t xml:space="preserve"> (</w:t>
      </w:r>
      <w:r>
        <w:t>The Left</w:t>
      </w:r>
      <w:r>
        <w:t xml:space="preserve">), </w:t>
      </w:r>
      <w:r>
        <w:rPr>
          <w:rStyle w:val="Bold"/>
        </w:rPr>
        <w:t>Dimitrios Papadimoulis</w:t>
      </w:r>
      <w:r>
        <w:t xml:space="preserve"> (</w:t>
      </w:r>
      <w:r>
        <w:t>The Left</w:t>
      </w:r>
      <w:r>
        <w:t xml:space="preserve">), </w:t>
      </w:r>
      <w:r>
        <w:rPr>
          <w:rStyle w:val="Bold"/>
        </w:rPr>
        <w:t>Stelios Kouloglou</w:t>
      </w:r>
      <w:r>
        <w:t xml:space="preserve"> (</w:t>
      </w:r>
      <w:r>
        <w:t>The Left</w:t>
      </w:r>
      <w:r>
        <w:t xml:space="preserve">), </w:t>
      </w:r>
      <w:r>
        <w:rPr>
          <w:rStyle w:val="Bold"/>
        </w:rPr>
        <w:t>Elena Kountoura</w:t>
      </w:r>
      <w:r>
        <w:t xml:space="preserve"> (</w:t>
      </w:r>
      <w:r>
        <w:t>The Left</w:t>
      </w:r>
      <w:r>
        <w:t xml:space="preserve">), </w:t>
      </w:r>
      <w:r>
        <w:rPr>
          <w:rStyle w:val="Bold"/>
        </w:rPr>
        <w:t>Cornelia Ernst</w:t>
      </w:r>
      <w:r>
        <w:t xml:space="preserve"> (</w:t>
      </w:r>
      <w:r>
        <w:t>The Left</w:t>
      </w:r>
      <w:r>
        <w:t xml:space="preserve">), </w:t>
      </w:r>
      <w:r>
        <w:rPr>
          <w:rStyle w:val="Bold"/>
        </w:rPr>
        <w:t>Dietmar Köster</w:t>
      </w:r>
      <w:r>
        <w:t xml:space="preserve"> (</w:t>
      </w:r>
      <w:r>
        <w:t>S&amp;D</w:t>
      </w:r>
      <w:r>
        <w:t xml:space="preserve">), </w:t>
      </w:r>
      <w:r>
        <w:rPr>
          <w:rStyle w:val="Bold"/>
        </w:rPr>
        <w:t>Domènec Ruiz Devesa</w:t>
      </w:r>
      <w:r>
        <w:t xml:space="preserve"> (</w:t>
      </w:r>
      <w:r>
        <w:t>S&amp;D</w:t>
      </w:r>
      <w:r>
        <w:t xml:space="preserve">), </w:t>
      </w:r>
      <w:r>
        <w:rPr>
          <w:rStyle w:val="Bold"/>
        </w:rPr>
        <w:t>Tineke Strik</w:t>
      </w:r>
      <w:r>
        <w:t xml:space="preserve"> (</w:t>
      </w:r>
      <w:r>
        <w:t>Verts/ALE</w:t>
      </w:r>
      <w:r>
        <w:t xml:space="preserve">), </w:t>
      </w:r>
      <w:r>
        <w:rPr>
          <w:rStyle w:val="Bold"/>
        </w:rPr>
        <w:t>Erik Marquardt</w:t>
      </w:r>
      <w:r>
        <w:t xml:space="preserve"> (</w:t>
      </w:r>
      <w:r>
        <w:t>Verts/ALE</w:t>
      </w:r>
      <w:r>
        <w:t xml:space="preserve">), </w:t>
      </w:r>
      <w:r>
        <w:rPr>
          <w:rStyle w:val="Bold"/>
        </w:rPr>
        <w:t>Ernest Urtasun</w:t>
      </w:r>
      <w:r>
        <w:t xml:space="preserve"> (</w:t>
      </w:r>
      <w:r>
        <w:t>Verts/ALE</w:t>
      </w:r>
      <w:r>
        <w:t xml:space="preserve">), </w:t>
      </w:r>
      <w:r>
        <w:rPr>
          <w:rStyle w:val="Bold"/>
        </w:rPr>
        <w:t>Clare Daly</w:t>
      </w:r>
      <w:r>
        <w:t xml:space="preserve"> (</w:t>
      </w:r>
      <w:r>
        <w:t>The Left</w:t>
      </w:r>
      <w:r>
        <w:t xml:space="preserve">), </w:t>
      </w:r>
      <w:r>
        <w:rPr>
          <w:rStyle w:val="Bold"/>
        </w:rPr>
        <w:t>Pernando Barrena Arza</w:t>
      </w:r>
      <w:r>
        <w:t xml:space="preserve"> (</w:t>
      </w:r>
      <w:r>
        <w:t>The Left</w:t>
      </w:r>
      <w:r>
        <w:t xml:space="preserve">), </w:t>
      </w:r>
      <w:r>
        <w:rPr>
          <w:rStyle w:val="Bold"/>
        </w:rPr>
        <w:t>José Gusmão</w:t>
      </w:r>
      <w:r>
        <w:t xml:space="preserve"> (</w:t>
      </w:r>
      <w:r>
        <w:t>The Left</w:t>
      </w:r>
      <w:r>
        <w:t xml:space="preserve">), </w:t>
      </w:r>
      <w:r>
        <w:rPr>
          <w:rStyle w:val="Bold"/>
        </w:rPr>
        <w:t>Anne-Sophie Pelletier</w:t>
      </w:r>
      <w:r>
        <w:t xml:space="preserve"> (</w:t>
      </w:r>
      <w:r>
        <w:t>The Left</w:t>
      </w:r>
      <w:r>
        <w:t xml:space="preserve">), </w:t>
      </w:r>
      <w:r>
        <w:rPr>
          <w:rStyle w:val="Bold"/>
        </w:rPr>
        <w:t>Leila Chaibi</w:t>
      </w:r>
      <w:r>
        <w:t xml:space="preserve"> (</w:t>
      </w:r>
      <w:r>
        <w:t>The Left</w:t>
      </w:r>
      <w:r>
        <w:t xml:space="preserve">), </w:t>
      </w:r>
      <w:r>
        <w:rPr>
          <w:rStyle w:val="Bold"/>
        </w:rPr>
        <w:t>Marisa Matias</w:t>
      </w:r>
      <w:r>
        <w:t xml:space="preserve"> (</w:t>
      </w:r>
      <w:r>
        <w:t>The Left</w:t>
      </w:r>
      <w:r>
        <w:t xml:space="preserve">), </w:t>
      </w:r>
      <w:r>
        <w:rPr>
          <w:rStyle w:val="Bold"/>
        </w:rPr>
        <w:t>Sira Rego</w:t>
      </w:r>
      <w:r>
        <w:t xml:space="preserve"> (</w:t>
      </w:r>
      <w:r>
        <w:t>The Left</w:t>
      </w:r>
      <w:r>
        <w:t xml:space="preserve">), </w:t>
      </w:r>
      <w:r>
        <w:rPr>
          <w:rStyle w:val="Bold"/>
        </w:rPr>
        <w:t>Malin Björk</w:t>
      </w:r>
      <w:r>
        <w:t xml:space="preserve"> (</w:t>
      </w:r>
      <w:r>
        <w:t>The Left</w:t>
      </w:r>
      <w:r>
        <w:t xml:space="preserve">), </w:t>
      </w:r>
      <w:r>
        <w:rPr>
          <w:rStyle w:val="Bold"/>
        </w:rPr>
        <w:t>Eugenia Rodríguez Palop</w:t>
      </w:r>
      <w:r>
        <w:t xml:space="preserve"> (</w:t>
      </w:r>
      <w:r>
        <w:t>The Left</w:t>
      </w:r>
      <w:r>
        <w:t xml:space="preserve">), </w:t>
      </w:r>
      <w:r>
        <w:rPr>
          <w:rStyle w:val="Bold"/>
        </w:rPr>
        <w:t>Milan Brglez</w:t>
      </w:r>
      <w:r>
        <w:t xml:space="preserve"> (</w:t>
      </w:r>
      <w:r>
        <w:t>S&amp;D</w:t>
      </w:r>
      <w:r>
        <w:t xml:space="preserve">), </w:t>
      </w:r>
      <w:r>
        <w:rPr>
          <w:rStyle w:val="Bold"/>
        </w:rPr>
        <w:t>Damien Carême</w:t>
      </w:r>
      <w:r>
        <w:t xml:space="preserve"> (</w:t>
      </w:r>
      <w:r>
        <w:t>Verts/ALE</w:t>
      </w:r>
      <w:r>
        <w:t xml:space="preserve">), </w:t>
      </w:r>
      <w:r>
        <w:rPr>
          <w:rStyle w:val="Bold"/>
        </w:rPr>
        <w:t>Salima Yenbou</w:t>
      </w:r>
      <w:r>
        <w:t xml:space="preserve"> (</w:t>
      </w:r>
      <w:r>
        <w:t>Verts/ALE</w:t>
      </w:r>
      <w:r>
        <w:t>)</w:t>
      </w:r>
    </w:p>
    <w:p>
      <w:pPr>
        <w:pStyle w:val="Subject"/>
      </w:pPr>
      <w:r>
        <w:t>Asunto</w:t>
      </w:r>
      <w:r>
        <w:t>:</w:t>
      </w:r>
      <w:r>
        <w:tab/>
      </w:r>
      <w:r>
        <w:t>Nuevo proyecto de ley sobre deportaciones y procedimientos de retorno en Grecia</w:t>
      </w:r>
    </w:p>
    <w:p>
      <w:pPr>
        <w:pStyle w:val="Body"/>
      </w:pPr>
      <w:r>
        <w:t>El 3 de septiembre de 2021, el Parlamento griego adoptó un proyecto de ley de reforma relativo a las deportaciones y los procedimientos de retorno de nacionales de terceros países, con la aprobación exclusiva de una mayoría del partido en el poder.</w:t>
      </w:r>
    </w:p>
    <w:p>
      <w:pPr>
        <w:pStyle w:val="Body"/>
      </w:pPr>
      <w:r>
        <w:t>En la fase de elaboración, la comisaria para los Derechos Humanos del Consejo de Europa, Dunja Mijatović, expresó serias reservas sobre el proyecto de ley y pidió claramente su retirada, por considerar que no se ajusta a las normas en materia de derechos humanos y que obstaculizaría gravemente el trabajo de salvamento llevado a cabo por las ONG y sus capacidades de supervisión de los derechos humanos en el Egeo.</w:t>
      </w:r>
    </w:p>
    <w:p>
      <w:pPr>
        <w:pStyle w:val="itemList"/>
      </w:pPr>
      <w:r>
        <w:t>1.</w:t>
      </w:r>
      <w:r>
        <w:tab/>
      </w:r>
      <w:r>
        <w:t>¿Considera la Comisión que esta legislación y, en particular su artículo 40, que introduce restricciones que básicamente prohíben y sancionan cualquier acción de las ONG para llevar a cabo o apoyar operaciones de salvamento marítimo, son compatibles con la obligación del Gobierno griego de respetar los derechos humanos y las orientaciones pertinentes de la Comisión</w:t>
      </w:r>
      <w:r>
        <w:rPr>
          <w:rStyle w:val="FootnoteReference"/>
        </w:rPr>
        <w:footnoteReference w:id="0"/>
      </w:r>
      <w:r>
        <w:t>?</w:t>
      </w:r>
    </w:p>
    <w:p>
      <w:pPr>
        <w:pStyle w:val="itemList"/>
      </w:pPr>
      <w:r>
        <w:t>2.</w:t>
      </w:r>
      <w:r>
        <w:tab/>
      </w:r>
      <w:r>
        <w:t>¿Aprueba la Comisión el método tendencioso con el que se introdujo el artículo 40 una vez finalizado el período de consulta pública?</w:t>
      </w:r>
    </w:p>
    <w:p>
      <w:pPr>
        <w:pStyle w:val="itemList"/>
      </w:pPr>
      <w:r>
        <w:t>3.</w:t>
      </w:r>
      <w:r>
        <w:tab/>
      </w:r>
      <w:r>
        <w:t>¿Considera la Comisión que, al restringir todas las actividades de las ONG pertinentes, el Gobierno griego está impidiendo el ejercicio del derecho de asilo, la salvaguardia del proceso jurídico para todos los procedimientos de retorno, la prevención de la devolución y la prevención de las detenciones ilegales automáticas y a gran escala?</w:t>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PE697.372v01-00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PE697.372v01-00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PE697.372v01-00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Orientaciones de la Comisión, de 23 de septiembre de 2020, sobre la aplicación de las normas de la UE destinadas a definir y prevenir la ayuda a la entrada, a la circulación y a la estancia irregulares (C(2020)6470).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20220106-135004-002405-080484</vt:lpwstr>
  </property>
</Properties>
</file>