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con solicitud de respuesta escrita E-006467/2020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Bettina Vollath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Erik Marquardt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Raphaël Glucksmann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Łukasz Kohut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Konstantinos Arvanitis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Günther Sidl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Evelyn Regner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Isabel Santos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Özlem Demirel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Terry Reintke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Niklas Nienaß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Milan Brglez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Ciarán Cuffe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Hannes Heide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Gabriele Bischoff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Andreas Schieder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Thomas Waitz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Sylvie Guillaume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Tineke Strik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Dietmar Köster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Katrin Langensiepen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Kira Marie Peter-Hansen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Cornelia Ernst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Marie Toussaint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Domènec Ruiz Devesa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Clare Daly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Mick Wallace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Leila Chaibi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Gwendoline Delbos-Corfield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Martin Hojsík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Damien Carême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Damian Boeselager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Anna Deparnay-Grunenberg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Michael Bloss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Hannah Neumann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Ville Niinistö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Sylwia Spurek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Delara Burkhardt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Jan-Christoph Oetjen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José Gusmão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Marisa Matias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Nikolaj Villumsen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Tanja Fajon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Monika Vana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Grace O'Sullivan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Anna Cavazzini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Irena Joveva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Aurore Lalucq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Rasmus Andresen</w:t>
      </w:r>
      <w:r>
        <w:t xml:space="preserve"> (</w:t>
      </w:r>
      <w:r>
        <w:t>Verts/ALE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>Nuevas pruebas de devoluciones forzosas en la frontera croata — ¿va a empezar la Comisión a reaccionar por fin?</w:t>
      </w:r>
    </w:p>
    <w:p>
      <w:pPr>
        <w:pStyle w:val="Body"/>
      </w:pPr>
      <w:r>
        <w:t xml:space="preserve">El 18 de noviembre de 2020, el periódico alemán </w:t>
      </w:r>
      <w:r>
        <w:rPr>
          <w:rStyle w:val="Italic"/>
        </w:rPr>
        <w:t>Der Spiegel</w:t>
      </w:r>
      <w:r>
        <w:t xml:space="preserve"> publicó un informe sobre las devoluciones forzosas ilegales en la frontera croata. El informe documenta cómo funcionarios de fronteras croatas empujaban por la fuerza a los solicitantes de asilo a cruzar la frontera de vuelta a Bosnia y Herzegovina. Además, Frontex ha estado grabando vídeos en la frontera exterior de Croacia, donde se han producido devoluciones forzosas y graves violaciones de los derechos humanos.</w:t>
      </w:r>
    </w:p>
    <w:p>
      <w:pPr>
        <w:pStyle w:val="itemList"/>
      </w:pPr>
      <w:r>
        <w:t>1.</w:t>
      </w:r>
      <w:r>
        <w:tab/>
      </w:r>
      <w:r>
        <w:t>En vista de la fiabilidad de la fuente y de las pruebas de vídeo facilitadas, ¿tiene la Comisión intención de abrir una investigación sobre las acusaciones contra funcionarios de fronteras croatas y Frontex sin demoras indebidas, teniendo en cuenta al mismo tiempo las grabaciones de Frontex?</w:t>
      </w:r>
    </w:p>
    <w:p>
      <w:pPr>
        <w:pStyle w:val="itemList"/>
      </w:pPr>
      <w:r>
        <w:t>2.</w:t>
      </w:r>
      <w:r>
        <w:tab/>
      </w:r>
      <w:r>
        <w:t>Es evidente que los funcionarios de fronteras croatas no actúan de manera acorde con el Código de fronteras Schengen. ¿Qué significa esto para una futura adhesión de Croacia al espacio Schengen?</w:t>
      </w:r>
    </w:p>
    <w:p>
      <w:pPr>
        <w:pStyle w:val="itemList"/>
      </w:pPr>
      <w:r>
        <w:t>3.</w:t>
      </w:r>
      <w:r>
        <w:tab/>
      </w:r>
      <w:r>
        <w:t>Los funcionarios de fronteras croatas han infringido el Derecho internacional y el Derecho de la UE. Estas infracciones incluyen, entre otras, el artículo 2 del Tratado de la Unión Europea, el artículo 13 del Reglamento (CE) n.º 562/2006 y el artículo 21 de la Directiva 2011/95/UE. A la luz de estas violaciones, ¿qué medidas va a tomar la Comisión para responder a estos hechos, además de la posible incoación de un procedimiento de infracción contra el Gobierno de Croacia?</w:t>
      </w:r>
    </w:p>
    <w:sectPr>
      <w:footerReference w:type="even" r:id="rId4"/>
      <w:footerReference w:type="default" r:id="rId5"/>
      <w:footerReference w:type="first" r:id="rId6"/>
      <w:pgSz w:w="11906" w:h="16838"/>
      <w:pgMar w:top="1440" w:right="1440" w:bottom="2000" w:left="1440" w:header="568" w:footer="568" w:gutter="0"/>
      <w:cols w:num="1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PE662.290v01-00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PE662.290v01-00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PE662.290v01-00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20210326-153019-284954-819673</vt:lpwstr>
  </property>
</Properties>
</file>