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E-002505/2021</w:t>
      </w:r>
    </w:p>
    <w:p>
      <w:pPr>
        <w:pStyle w:val="Arial10"/>
      </w:pPr>
      <w:r>
        <w:rPr>
          <w:rStyle w:val="Bold"/>
        </w:rPr>
        <w:t>a la Comisión</w:t>
      </w:r>
    </w:p>
    <w:p>
      <w:pPr>
        <w:pStyle w:val="Arial10"/>
      </w:pPr>
      <w:r>
        <w:t>Artículo 138 del Reglamento interno</w:t>
      </w:r>
    </w:p>
    <w:p>
      <w:pPr>
        <w:pStyle w:val="Arial10After10"/>
      </w:pPr>
      <w:r>
        <w:rPr>
          <w:rStyle w:val="Bold"/>
        </w:rPr>
        <w:t>Konstantinos Arvanitis</w:t>
      </w:r>
      <w:r>
        <w:t xml:space="preserve"> (</w:t>
      </w:r>
      <w:r>
        <w:t>The Left</w:t>
      </w:r>
      <w:r>
        <w:t xml:space="preserve">), </w:t>
      </w:r>
      <w:r>
        <w:rPr>
          <w:rStyle w:val="Bold"/>
        </w:rPr>
        <w:t>Marisa Matias</w:t>
      </w:r>
      <w:r>
        <w:t xml:space="preserve"> (</w:t>
      </w:r>
      <w:r>
        <w:t>The Left</w:t>
      </w:r>
      <w:r>
        <w:t xml:space="preserve">), </w:t>
      </w:r>
      <w:r>
        <w:rPr>
          <w:rStyle w:val="Bold"/>
        </w:rPr>
        <w:t>José Gusmão</w:t>
      </w:r>
      <w:r>
        <w:t xml:space="preserve"> (</w:t>
      </w:r>
      <w:r>
        <w:t>The Left</w:t>
      </w:r>
      <w:r>
        <w:t xml:space="preserve">), </w:t>
      </w:r>
      <w:r>
        <w:rPr>
          <w:rStyle w:val="Bold"/>
        </w:rPr>
        <w:t>Clare Daly</w:t>
      </w:r>
      <w:r>
        <w:t xml:space="preserve"> (</w:t>
      </w:r>
      <w:r>
        <w:t>The Left</w:t>
      </w:r>
      <w:r>
        <w:t xml:space="preserve">), </w:t>
      </w:r>
      <w:r>
        <w:rPr>
          <w:rStyle w:val="Bold"/>
        </w:rPr>
        <w:t>Mick Wallace</w:t>
      </w:r>
      <w:r>
        <w:t xml:space="preserve"> (</w:t>
      </w:r>
      <w:r>
        <w:t>The Left</w:t>
      </w:r>
      <w:r>
        <w:t xml:space="preserve">), </w:t>
      </w:r>
      <w:r>
        <w:rPr>
          <w:rStyle w:val="Bold"/>
        </w:rPr>
        <w:t>Niyazi Kizilyürek</w:t>
      </w:r>
      <w:r>
        <w:t xml:space="preserve"> (</w:t>
      </w:r>
      <w:r>
        <w:t>The Left</w:t>
      </w:r>
      <w:r>
        <w:t xml:space="preserve">), </w:t>
      </w:r>
      <w:r>
        <w:rPr>
          <w:rStyle w:val="Bold"/>
        </w:rPr>
        <w:t>Giorgos Georgiou</w:t>
      </w:r>
      <w:r>
        <w:t xml:space="preserve"> (</w:t>
      </w:r>
      <w:r>
        <w:t>The Left</w:t>
      </w:r>
      <w:r>
        <w:t xml:space="preserve">), </w:t>
      </w:r>
      <w:r>
        <w:rPr>
          <w:rStyle w:val="Bold"/>
        </w:rPr>
        <w:t>Pernando Barrena Arza</w:t>
      </w:r>
      <w:r>
        <w:t xml:space="preserve"> (</w:t>
      </w:r>
      <w:r>
        <w:t>The Left</w:t>
      </w:r>
      <w:r>
        <w:t xml:space="preserve">), </w:t>
      </w:r>
      <w:r>
        <w:rPr>
          <w:rStyle w:val="Bold"/>
        </w:rPr>
        <w:t>Bettina Vollath</w:t>
      </w:r>
      <w:r>
        <w:t xml:space="preserve"> (</w:t>
      </w:r>
      <w:r>
        <w:t>S&amp;D</w:t>
      </w:r>
      <w:r>
        <w:t xml:space="preserve">), </w:t>
      </w:r>
      <w:r>
        <w:rPr>
          <w:rStyle w:val="Bold"/>
        </w:rPr>
        <w:t>Dietmar Köster</w:t>
      </w:r>
      <w:r>
        <w:t xml:space="preserve"> (</w:t>
      </w:r>
      <w:r>
        <w:t>S&amp;D</w:t>
      </w:r>
      <w:r>
        <w:t xml:space="preserve">), </w:t>
      </w:r>
      <w:r>
        <w:rPr>
          <w:rStyle w:val="Bold"/>
        </w:rPr>
        <w:t>Sira Rego</w:t>
      </w:r>
      <w:r>
        <w:t xml:space="preserve"> (</w:t>
      </w:r>
      <w:r>
        <w:t>The Left</w:t>
      </w:r>
      <w:r>
        <w:t xml:space="preserve">), </w:t>
      </w:r>
      <w:r>
        <w:rPr>
          <w:rStyle w:val="Bold"/>
        </w:rPr>
        <w:t>Nikolaj Villumsen</w:t>
      </w:r>
      <w:r>
        <w:t xml:space="preserve"> (</w:t>
      </w:r>
      <w:r>
        <w:t>The Left</w:t>
      </w:r>
      <w:r>
        <w:t xml:space="preserve">), </w:t>
      </w:r>
      <w:r>
        <w:rPr>
          <w:rStyle w:val="Bold"/>
        </w:rPr>
        <w:t>Vilija Blinkevičiūtė</w:t>
      </w:r>
      <w:r>
        <w:t xml:space="preserve"> (</w:t>
      </w:r>
      <w:r>
        <w:t>S&amp;D</w:t>
      </w:r>
      <w:r>
        <w:t xml:space="preserve">), </w:t>
      </w:r>
      <w:r>
        <w:rPr>
          <w:rStyle w:val="Bold"/>
        </w:rPr>
        <w:t>Karen Melchior</w:t>
      </w:r>
      <w:r>
        <w:t xml:space="preserve"> (</w:t>
      </w:r>
      <w:r>
        <w:t>Renew</w:t>
      </w:r>
      <w:r>
        <w:t xml:space="preserve">), </w:t>
      </w:r>
      <w:r>
        <w:rPr>
          <w:rStyle w:val="Bold"/>
        </w:rPr>
        <w:t>Eugenia Rodríguez Palop</w:t>
      </w:r>
      <w:r>
        <w:t xml:space="preserve"> (</w:t>
      </w:r>
      <w:r>
        <w:t>The Left</w:t>
      </w:r>
      <w:r>
        <w:t xml:space="preserve">), </w:t>
      </w:r>
      <w:r>
        <w:rPr>
          <w:rStyle w:val="Bold"/>
        </w:rPr>
        <w:t>Rosa D'Amato</w:t>
      </w:r>
      <w:r>
        <w:t xml:space="preserve"> (</w:t>
      </w:r>
      <w:r>
        <w:t>Verts/ALE</w:t>
      </w:r>
      <w:r>
        <w:t xml:space="preserve">), </w:t>
      </w:r>
      <w:r>
        <w:rPr>
          <w:rStyle w:val="Bold"/>
        </w:rPr>
        <w:t>Stelios Kouloglou</w:t>
      </w:r>
      <w:r>
        <w:t xml:space="preserve"> (</w:t>
      </w:r>
      <w:r>
        <w:t>The Left</w:t>
      </w:r>
      <w:r>
        <w:t xml:space="preserve">), </w:t>
      </w:r>
      <w:r>
        <w:rPr>
          <w:rStyle w:val="Bold"/>
        </w:rPr>
        <w:t>Anne-Sophie Pelletier</w:t>
      </w:r>
      <w:r>
        <w:t xml:space="preserve"> (</w:t>
      </w:r>
      <w:r>
        <w:t>The Left</w:t>
      </w:r>
      <w:r>
        <w:t>)</w:t>
      </w:r>
    </w:p>
    <w:p>
      <w:pPr>
        <w:pStyle w:val="Subject"/>
      </w:pPr>
      <w:r>
        <w:t>Asunto</w:t>
      </w:r>
      <w:r>
        <w:t>:</w:t>
      </w:r>
      <w:r>
        <w:tab/>
      </w:r>
      <w:r>
        <w:t>La falta de una gestión eficiente de los naufragios y la búsqueda y el salvamento en las rutas migratorias en el Mediterráneo</w:t>
      </w:r>
    </w:p>
    <w:p>
      <w:pPr>
        <w:pStyle w:val="Body"/>
      </w:pPr>
      <w:r>
        <w:t>En 2020, Josep Borrell, alto representante de la Unión para Asuntos Exteriores y Política de Seguridad, negó que Frontex compartiera inteligencia operativa con la guardia costera libia.</w:t>
      </w:r>
    </w:p>
    <w:p>
      <w:pPr>
        <w:pStyle w:val="Body"/>
      </w:pPr>
      <w:r>
        <w:t>Sin embargo, existen registros oficiales de ello entre 2017 y 2019, en el marco de las actividades del «Servicio de fusión de Eurosur — Vigilancia aérea polivalente (MAS)».</w:t>
      </w:r>
    </w:p>
    <w:p>
      <w:pPr>
        <w:pStyle w:val="Body"/>
      </w:pPr>
      <w:r>
        <w:t>Recientemente, Dunja Mijatović, comisaria del Consejo de Europa para los Derechos Humanos, ha publicado un informe en el que destaca las políticas de externalización que aplican los Estados miembros europeos para impedir el trabajo de las ONG, dejando que milicias y guardacostas de países de tránsito, como Libia, lleven a cabo devoluciones forzosas.</w:t>
      </w:r>
    </w:p>
    <w:p>
      <w:pPr>
        <w:pStyle w:val="Body"/>
      </w:pPr>
      <w:r>
        <w:t>Pedimos a la Comisión que conteste a las siguientes preguntas:</w:t>
      </w:r>
    </w:p>
    <w:p>
      <w:pPr>
        <w:pStyle w:val="itemList"/>
      </w:pPr>
      <w:r>
        <w:t>1.</w:t>
      </w:r>
      <w:r>
        <w:tab/>
      </w:r>
      <w:r>
        <w:t>¿Cómo coordinan Frontex y el aparato estatal implicado en la búsqueda y el salvamento en el Mediterráneo central sus actividades para evitar tragedias como el naufragio que se produjo la semana pasada?</w:t>
      </w:r>
    </w:p>
    <w:p>
      <w:pPr>
        <w:pStyle w:val="itemList"/>
      </w:pPr>
      <w:r>
        <w:t>2.</w:t>
      </w:r>
      <w:r>
        <w:tab/>
      </w:r>
      <w:r>
        <w:t>¿Está previsto tomar la iniciativa de suspender el registro de la «Zona de Búsqueda y Salvamento» libia en la Organización Marítima Internacional, ya que no cumple ni las normas internacionales ni las obligaciones de los distintos Estados de respetar el derecho de asilo y la ley del mar?</w:t>
      </w:r>
    </w:p>
    <w:p>
      <w:pPr>
        <w:pStyle w:val="itemList"/>
      </w:pPr>
      <w:r>
        <w:t>3.</w:t>
      </w:r>
      <w:r>
        <w:tab/>
      </w:r>
      <w:r>
        <w:t>Las recientes declaraciones del comandante de EUNAVFOR MED IRINI — vinculado permanentemente a FRONTEX — indican una estrecha relación de colaboración con la misma guardia costera que reincorporó al comandante Bija, que es sospechoso de participar en una organización delictiva. ¿Qué operaciones de formación se están llevando a cabo actualmente y qué relaciones operativas siguen activas?</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PE693.288v01-00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PE693.288v01-00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PE693.288v01-00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20210802-161045-016159-087505</vt:lpwstr>
  </property>
</Properties>
</file>