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Pregunta con solicitud de respuesta escrita E-000462/2021</w:t>
      </w:r>
    </w:p>
    <w:p>
      <w:pPr>
        <w:pStyle w:val="Arial10"/>
      </w:pPr>
      <w:r>
        <w:rPr>
          <w:rStyle w:val="Bold"/>
        </w:rPr>
        <w:t>a la Comisión</w:t>
      </w:r>
    </w:p>
    <w:p>
      <w:pPr>
        <w:pStyle w:val="Arial10"/>
      </w:pPr>
      <w:r>
        <w:t>Artículo 138 del Reglamento interno</w:t>
      </w:r>
    </w:p>
    <w:p>
      <w:pPr>
        <w:pStyle w:val="Arial10After10"/>
      </w:pPr>
      <w:r>
        <w:rPr>
          <w:rStyle w:val="Bold"/>
        </w:rPr>
        <w:t>Marc Botenga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Kateřina Konečná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Clare Daly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Mick Wallace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Manuel Bompard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Niyazi Kizilyürek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Manon Aubry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Pernando Barrena Arza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Petros Kokkalis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Dimitrios Papadimoulis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Martina Michels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Anne-Sophie Pelletier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Nikolaj Villumsen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Giorgos Georgiou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Eugenia Rodríguez Palop</w:t>
      </w:r>
      <w:r>
        <w:t xml:space="preserve"> (</w:t>
      </w:r>
      <w:r>
        <w:t>The Left</w:t>
      </w:r>
      <w:r>
        <w:t>)</w:t>
      </w:r>
    </w:p>
    <w:p>
      <w:pPr>
        <w:pStyle w:val="Subject"/>
      </w:pPr>
      <w:r>
        <w:t>Asunto</w:t>
      </w:r>
      <w:r>
        <w:t>:</w:t>
      </w:r>
      <w:r>
        <w:tab/>
      </w:r>
      <w:r>
        <w:t>La escasez mundial de vacunas y la puesta en común de patentes de acuerdo con la Iniciativa Ciudadana Europea «Derecho a una cura»</w:t>
      </w:r>
    </w:p>
    <w:p>
      <w:pPr>
        <w:pStyle w:val="Body"/>
      </w:pPr>
      <w:r>
        <w:t>La Iniciativa Ciudadana Europea «Derecho a una cura»</w:t>
      </w:r>
      <w:r>
        <w:rPr>
          <w:rStyle w:val="FootnoteReference"/>
        </w:rPr>
        <w:footnoteReference w:id="0"/>
      </w:r>
      <w:r>
        <w:t xml:space="preserve"> establece que «las patentes otorgan a una sola compañía el poder y monopolio sobre productos farmacéuticos esenciales. Esto limita su disponibilidad e incrementa su coste para las personas que los necesitan». La Comisión ha refutado en anteriores ocasiones esta afirmación y se ha negado a incluir como condición la puesta en común de patentes en los acuerdos de compra de vacunas contra la COVID-19 que ha negociado con la industria farmacéutica. La India ha cuestionado la decisión de la Unión Europea en este asunto ante la Organización Mundial del Comercio</w:t>
      </w:r>
      <w:r>
        <w:rPr>
          <w:rStyle w:val="FootnoteReference"/>
        </w:rPr>
        <w:footnoteReference w:id="1"/>
      </w:r>
      <w:r>
        <w:t>.</w:t>
      </w:r>
    </w:p>
    <w:p>
      <w:pPr>
        <w:pStyle w:val="Body"/>
      </w:pPr>
      <w:r>
        <w:t>En vista de la escasez mundial de vacunas:</w:t>
      </w:r>
    </w:p>
    <w:p>
      <w:pPr>
        <w:pStyle w:val="itemList"/>
      </w:pPr>
      <w:r>
        <w:t>1.</w:t>
      </w:r>
      <w:r>
        <w:tab/>
      </w:r>
      <w:r>
        <w:t>¿Qué datos puede aportar la Comisión para justificar la afirmación de que la concesión de licencias voluntarias y los mecanismos de cooperación mundial existentes, como el Acelerador del acceso a las herramientas contra la COVID-19, el Mecanismo COVAX y el compromiso anticipado de mercado COVAX, son suficientes para hacer frente a las necesidades de vacunación de 7 800 millones de personas en el mundo este año?</w:t>
      </w:r>
    </w:p>
    <w:p>
      <w:pPr>
        <w:pStyle w:val="itemList"/>
      </w:pPr>
      <w:r>
        <w:t>2.</w:t>
      </w:r>
      <w:r>
        <w:tab/>
      </w:r>
      <w:r>
        <w:t>Si los mecanismos voluntarios son suficientes, ¿puede explicar la Comisión por qué la industria farmacéutica rechazó colectivamente la participación en el Acceso Mancomunado a Tecnología contra la COVID-19 (C-TAP) de la Organización Mundial de la Salud, una iniciativa que fomenta las contribuciones voluntarias de propiedad intelectual, conocimientos tecnológicos y datos para apoyar la puesta en común y la expansión a escala mundial de la fabricación y el suministro de productos médicos y farmacéuticos relacionados con la COVID-19</w:t>
      </w:r>
      <w:r>
        <w:rPr>
          <w:rStyle w:val="FootnoteReference"/>
        </w:rPr>
        <w:footnoteReference w:id="2"/>
      </w:r>
      <w:r>
        <w:t>?</w:t>
      </w:r>
    </w:p>
    <w:sectPr>
      <w:footerReference w:type="even" r:id="rId5"/>
      <w:footerReference w:type="default" r:id="rId6"/>
      <w:footerReference w:type="first" r:id="rId7"/>
      <w:pgSz w:w="11906" w:h="16838"/>
      <w:pgMar w:top="1440" w:right="1440" w:bottom="2000" w:left="1440" w:header="568" w:footer="568" w:gutter="0"/>
      <w:cols w:num="1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PE666.949v01-00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PE666.949v01-00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PE666.949v01-00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https://eci.ec.europa.eu/015/public/#/screen/home</w:t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https://docs.wto.org/dol2fe/Pages/SS/directdoc.aspx?filename=q:/IP/C/W674.pdf&amp;Open=True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https://www.theguardian.com/world/2021/jan/22/who-platform-for-pharmaceutical-firms-unused-since-pandemic-began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con solicitud de respuesta escrita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20210413-094012-019207-352566</vt:lpwstr>
  </property>
</Properties>
</file>