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E-005746/2020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Jordi Solé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Diana Riba i Giner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Ernest Urtasun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Idoia Villanueva Ruiz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Sira Rego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Manu Pineda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Lina Gálvez Muñoz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Nicolás González Casares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Adriana Maldonado López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Alicia Homs Ginel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Isabel García Muñoz</w:t>
      </w:r>
      <w:r>
        <w:t xml:space="preserve"> (</w:t>
      </w:r>
      <w:r>
        <w:t>S&amp;D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La crisis en Airbus y en el sector aeroespacial</w:t>
      </w:r>
    </w:p>
    <w:p>
      <w:pPr>
        <w:pStyle w:val="Body"/>
      </w:pPr>
      <w:r>
        <w:t>La compañía europea Airbus y el sector aeroespacial en general están sufriendo sobremanera las consecuencias de la pandemia de COVID-19. Los vuelos han disminuido un 91 %, las nuevas entregas de aeronaves a las compañías aéreas se han reducido al 50 % y las medidas de suspensión de empleo están afectando a más de 15 000 trabajadores en toda Europa.</w:t>
      </w:r>
    </w:p>
    <w:p>
      <w:pPr>
        <w:pStyle w:val="Body"/>
      </w:pPr>
      <w:r>
        <w:t>Estas medidas podrían ser, en su mayoría, temporales en Francia y Alemania. Sin embargo, en el caso de España, algunos centros de producción podrían cerrar de forma permanente y se perderían más de 3 000 puestos de trabajo.</w:t>
      </w:r>
    </w:p>
    <w:p>
      <w:pPr>
        <w:pStyle w:val="Body"/>
      </w:pPr>
      <w:r>
        <w:t>El sector espera poder volver a la normalidad entre 2023 y 2025. Mientras tanto, la tecnología está evolucionando hacia el uso de combustibles con cero emisiones, lo que también afectará a los centros de producción del sector.</w:t>
      </w:r>
    </w:p>
    <w:p>
      <w:pPr>
        <w:pStyle w:val="itemList"/>
      </w:pPr>
      <w:r>
        <w:t>1.</w:t>
      </w:r>
      <w:r>
        <w:tab/>
      </w:r>
      <w:r>
        <w:t>¿Propondrá la Comisión un plan europeo común para el sector aeroespacial que ayude a mitigar las consecuencias negativas de la pandemia y permita que todos los países afectados salgan juntos de la crisis?</w:t>
      </w:r>
    </w:p>
    <w:p>
      <w:pPr>
        <w:pStyle w:val="itemList"/>
      </w:pPr>
      <w:r>
        <w:t>2.</w:t>
      </w:r>
      <w:r>
        <w:tab/>
      </w:r>
      <w:r>
        <w:t>¿Va a proponer la Comisión un plan de transición ecológica para el sector a fin de que salga más fuerte de la crisis?</w:t>
      </w:r>
    </w:p>
    <w:p>
      <w:pPr>
        <w:pStyle w:val="itemList"/>
      </w:pPr>
      <w:r>
        <w:t>3.</w:t>
      </w:r>
      <w:r>
        <w:tab/>
      </w:r>
      <w:r>
        <w:t>¿Garantizará la Comisión que cualquier apoyo al sector esté condicionado al mantenimiento del mismo nivel de empleo, condiciones de trabajo y derechos?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PE659.992v01-00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PE659.992v01-00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PE659.992v01-00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20210408-152007-012011-115152</vt:lpwstr>
  </property>
</Properties>
</file>