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9.3 -->
  <w:body>
    <w:p>
      <w:pPr>
        <w:pStyle w:val="Arial10"/>
      </w:pPr>
      <w:r w:rsidR="00A77B3E">
        <w:rPr>
          <w:rStyle w:val="Bold"/>
        </w:rPr>
        <w:t>Pregunta con solicitud de respuesta escrita E-001467/2023</w:t>
      </w:r>
    </w:p>
    <w:p>
      <w:pPr>
        <w:pStyle w:val="Arial10"/>
      </w:pPr>
      <w:r>
        <w:rPr>
          <w:rStyle w:val="Bold"/>
        </w:rPr>
        <w:t>a la Comisión</w:t>
      </w:r>
    </w:p>
    <w:p>
      <w:pPr>
        <w:pStyle w:val="Arial10"/>
      </w:pPr>
      <w:r>
        <w:t>Artículo 138 del Reglamento interno</w:t>
      </w:r>
    </w:p>
    <w:p>
      <w:pPr>
        <w:pStyle w:val="Arial10After10"/>
      </w:pPr>
      <w:r>
        <w:rPr>
          <w:rStyle w:val="Bold"/>
        </w:rPr>
        <w:t>Milan Brglez</w:t>
      </w:r>
      <w:r>
        <w:t xml:space="preserve"> (</w:t>
      </w:r>
      <w:r>
        <w:t>S&amp;D</w:t>
      </w:r>
      <w:r>
        <w:t xml:space="preserve">), </w:t>
      </w:r>
      <w:r>
        <w:rPr>
          <w:rStyle w:val="Bold"/>
        </w:rPr>
        <w:t>Agnes Jongerius</w:t>
      </w:r>
      <w:r>
        <w:t xml:space="preserve"> (</w:t>
      </w:r>
      <w:r>
        <w:t>S&amp;D</w:t>
      </w:r>
      <w:r>
        <w:t xml:space="preserve">), </w:t>
      </w:r>
      <w:r>
        <w:rPr>
          <w:rStyle w:val="Bold"/>
        </w:rPr>
        <w:t>Marc Angel</w:t>
      </w:r>
      <w:r>
        <w:t xml:space="preserve"> (</w:t>
      </w:r>
      <w:r>
        <w:t>S&amp;D</w:t>
      </w:r>
      <w:r>
        <w:t xml:space="preserve">), </w:t>
      </w:r>
      <w:r>
        <w:rPr>
          <w:rStyle w:val="Bold"/>
        </w:rPr>
        <w:t>Dimitrios Papadimoulis</w:t>
      </w:r>
      <w:r>
        <w:t xml:space="preserve"> (</w:t>
      </w:r>
      <w:r>
        <w:t>The Left</w:t>
      </w:r>
      <w:r>
        <w:t xml:space="preserve">), </w:t>
      </w:r>
      <w:r>
        <w:rPr>
          <w:rStyle w:val="Bold"/>
        </w:rPr>
        <w:t>Peter Pollák</w:t>
      </w:r>
      <w:r>
        <w:t xml:space="preserve"> (</w:t>
      </w:r>
      <w:r>
        <w:t>PPE</w:t>
      </w:r>
      <w:r>
        <w:t xml:space="preserve">), </w:t>
      </w:r>
      <w:r>
        <w:rPr>
          <w:rStyle w:val="Bold"/>
        </w:rPr>
        <w:t>Evelyn Regner</w:t>
      </w:r>
      <w:r>
        <w:t xml:space="preserve"> (</w:t>
      </w:r>
      <w:r>
        <w:t>S&amp;D</w:t>
      </w:r>
      <w:r>
        <w:t xml:space="preserve">), </w:t>
      </w:r>
      <w:r>
        <w:rPr>
          <w:rStyle w:val="Bold"/>
        </w:rPr>
        <w:t>Gabriele Bischoff</w:t>
      </w:r>
      <w:r>
        <w:t xml:space="preserve"> (</w:t>
      </w:r>
      <w:r>
        <w:t>S&amp;D</w:t>
      </w:r>
      <w:r>
        <w:t xml:space="preserve">), </w:t>
      </w:r>
      <w:r>
        <w:rPr>
          <w:rStyle w:val="Bold"/>
        </w:rPr>
        <w:t>Caterina Chinnici</w:t>
      </w:r>
      <w:r>
        <w:t xml:space="preserve"> (</w:t>
      </w:r>
      <w:r>
        <w:t>S&amp;D</w:t>
      </w:r>
      <w:r>
        <w:t xml:space="preserve">), </w:t>
      </w:r>
      <w:r>
        <w:rPr>
          <w:rStyle w:val="Bold"/>
        </w:rPr>
        <w:t>Jordi Solé</w:t>
      </w:r>
      <w:r>
        <w:t xml:space="preserve"> (</w:t>
      </w:r>
      <w:r>
        <w:t>Verts/ALE</w:t>
      </w:r>
      <w:r>
        <w:t xml:space="preserve">), </w:t>
      </w:r>
      <w:r>
        <w:rPr>
          <w:rStyle w:val="Bold"/>
        </w:rPr>
        <w:t>Pierre Larrouturou</w:t>
      </w:r>
      <w:r>
        <w:t xml:space="preserve"> (</w:t>
      </w:r>
      <w:r>
        <w:t>S&amp;D</w:t>
      </w:r>
      <w:r>
        <w:t xml:space="preserve">), </w:t>
      </w:r>
      <w:r>
        <w:rPr>
          <w:rStyle w:val="Bold"/>
        </w:rPr>
        <w:t>Rosa D'Amato</w:t>
      </w:r>
      <w:r>
        <w:t xml:space="preserve"> (</w:t>
      </w:r>
      <w:r>
        <w:t>Verts/ALE</w:t>
      </w:r>
      <w:r>
        <w:t xml:space="preserve">), </w:t>
      </w:r>
      <w:r>
        <w:rPr>
          <w:rStyle w:val="Bold"/>
        </w:rPr>
        <w:t>Olivier Chastel</w:t>
      </w:r>
      <w:r>
        <w:t xml:space="preserve"> (</w:t>
      </w:r>
      <w:r>
        <w:t>Renew</w:t>
      </w:r>
      <w:r>
        <w:t xml:space="preserve">), </w:t>
      </w:r>
      <w:r>
        <w:rPr>
          <w:rStyle w:val="Bold"/>
        </w:rPr>
        <w:t>Monika Beňová</w:t>
      </w:r>
      <w:r>
        <w:t xml:space="preserve"> (</w:t>
      </w:r>
      <w:r>
        <w:t>S&amp;D</w:t>
      </w:r>
      <w:r>
        <w:t xml:space="preserve">), </w:t>
      </w:r>
      <w:r>
        <w:rPr>
          <w:rStyle w:val="Bold"/>
        </w:rPr>
        <w:t>Hannes Heide</w:t>
      </w:r>
      <w:r>
        <w:t xml:space="preserve"> (</w:t>
      </w:r>
      <w:r>
        <w:t>S&amp;D</w:t>
      </w:r>
      <w:r>
        <w:t xml:space="preserve">), </w:t>
      </w:r>
      <w:r>
        <w:rPr>
          <w:rStyle w:val="Bold"/>
        </w:rPr>
        <w:t>Eugenia Rodríguez Palop</w:t>
      </w:r>
      <w:r>
        <w:t xml:space="preserve"> (</w:t>
      </w:r>
      <w:r>
        <w:t>The Left</w:t>
      </w:r>
      <w:r>
        <w:t xml:space="preserve">), </w:t>
      </w:r>
      <w:r>
        <w:rPr>
          <w:rStyle w:val="Bold"/>
        </w:rPr>
        <w:t>Viktor Uspaskich</w:t>
      </w:r>
      <w:r>
        <w:t xml:space="preserve"> (</w:t>
      </w:r>
      <w:r>
        <w:t>NI</w:t>
      </w:r>
      <w:r>
        <w:t xml:space="preserve">), </w:t>
      </w:r>
      <w:r>
        <w:rPr>
          <w:rStyle w:val="Bold"/>
        </w:rPr>
        <w:t>Aurore Lalucq</w:t>
      </w:r>
      <w:r>
        <w:t xml:space="preserve"> (</w:t>
      </w:r>
      <w:r>
        <w:t>S&amp;D</w:t>
      </w:r>
      <w:r>
        <w:t xml:space="preserve">), </w:t>
      </w:r>
      <w:r>
        <w:rPr>
          <w:rStyle w:val="Bold"/>
        </w:rPr>
        <w:t>Klemen Grošelj</w:t>
      </w:r>
      <w:r>
        <w:t xml:space="preserve"> (</w:t>
      </w:r>
      <w:r>
        <w:t>Renew</w:t>
      </w:r>
      <w:r>
        <w:t xml:space="preserve">), </w:t>
      </w:r>
      <w:r>
        <w:rPr>
          <w:rStyle w:val="Bold"/>
        </w:rPr>
        <w:t>Magdalena Adamowicz</w:t>
      </w:r>
      <w:r>
        <w:t xml:space="preserve"> (</w:t>
      </w:r>
      <w:r>
        <w:t>PPE</w:t>
      </w:r>
      <w:r>
        <w:t xml:space="preserve">), </w:t>
      </w:r>
      <w:r>
        <w:rPr>
          <w:rStyle w:val="Bold"/>
        </w:rPr>
        <w:t>Mick Wallace</w:t>
      </w:r>
      <w:r>
        <w:t xml:space="preserve"> (</w:t>
      </w:r>
      <w:r>
        <w:t>The Left</w:t>
      </w:r>
      <w:r>
        <w:t xml:space="preserve">), </w:t>
      </w:r>
      <w:r>
        <w:rPr>
          <w:rStyle w:val="Bold"/>
        </w:rPr>
        <w:t>Matjaž Nemec</w:t>
      </w:r>
      <w:r>
        <w:t xml:space="preserve"> (</w:t>
      </w:r>
      <w:r>
        <w:t>S&amp;D</w:t>
      </w:r>
      <w:r>
        <w:t xml:space="preserve">), </w:t>
      </w:r>
      <w:r>
        <w:rPr>
          <w:rStyle w:val="Bold"/>
        </w:rPr>
        <w:t>Sabrina Pignedoli</w:t>
      </w:r>
      <w:r>
        <w:t xml:space="preserve"> (</w:t>
      </w:r>
      <w:r>
        <w:t>NI</w:t>
      </w:r>
      <w:r>
        <w:t xml:space="preserve">), </w:t>
      </w:r>
      <w:r>
        <w:rPr>
          <w:rStyle w:val="Bold"/>
        </w:rPr>
        <w:t>Irena Joveva</w:t>
      </w:r>
      <w:r>
        <w:t xml:space="preserve"> (</w:t>
      </w:r>
      <w:r>
        <w:t>Renew</w:t>
      </w:r>
      <w:r>
        <w:t xml:space="preserve">), </w:t>
      </w:r>
      <w:r>
        <w:rPr>
          <w:rStyle w:val="Bold"/>
        </w:rPr>
        <w:t>Ljudmila Novak</w:t>
      </w:r>
      <w:r>
        <w:t xml:space="preserve"> (</w:t>
      </w:r>
      <w:r>
        <w:t>PPE</w:t>
      </w:r>
      <w:r>
        <w:t xml:space="preserve">), </w:t>
      </w:r>
      <w:r>
        <w:rPr>
          <w:rStyle w:val="Bold"/>
        </w:rPr>
        <w:t>Vilija Blinkevičiūtė</w:t>
      </w:r>
      <w:r>
        <w:t xml:space="preserve"> (</w:t>
      </w:r>
      <w:r>
        <w:t>S&amp;D</w:t>
      </w:r>
      <w:r>
        <w:t xml:space="preserve">), </w:t>
      </w:r>
      <w:r>
        <w:rPr>
          <w:rStyle w:val="Bold"/>
        </w:rPr>
        <w:t>István Ujhelyi</w:t>
      </w:r>
      <w:r>
        <w:t xml:space="preserve"> (</w:t>
      </w:r>
      <w:r>
        <w:t>S&amp;D</w:t>
      </w:r>
      <w:r>
        <w:t xml:space="preserve">), </w:t>
      </w:r>
      <w:r>
        <w:rPr>
          <w:rStyle w:val="Bold"/>
        </w:rPr>
        <w:t>Ivan Vilibor Sinčić</w:t>
      </w:r>
      <w:r>
        <w:t xml:space="preserve"> (</w:t>
      </w:r>
      <w:r>
        <w:t>NI</w:t>
      </w:r>
      <w:r>
        <w:t xml:space="preserve">), </w:t>
      </w:r>
      <w:r>
        <w:rPr>
          <w:rStyle w:val="Bold"/>
        </w:rPr>
        <w:t>Carmen Avram</w:t>
      </w:r>
      <w:r>
        <w:t xml:space="preserve"> (</w:t>
      </w:r>
      <w:r>
        <w:t>S&amp;D</w:t>
      </w:r>
      <w:r>
        <w:t xml:space="preserve">), </w:t>
      </w:r>
      <w:r>
        <w:rPr>
          <w:rStyle w:val="Bold"/>
        </w:rPr>
        <w:t>Corina Crețu</w:t>
      </w:r>
      <w:r>
        <w:t xml:space="preserve"> (</w:t>
      </w:r>
      <w:r>
        <w:t>S&amp;D</w:t>
      </w:r>
      <w:r>
        <w:t xml:space="preserve">), </w:t>
      </w:r>
      <w:r>
        <w:rPr>
          <w:rStyle w:val="Bold"/>
        </w:rPr>
        <w:t>Vlad Gheorghe</w:t>
      </w:r>
      <w:r>
        <w:t xml:space="preserve"> (</w:t>
      </w:r>
      <w:r>
        <w:t>Renew</w:t>
      </w:r>
      <w:r>
        <w:t>)</w:t>
      </w:r>
    </w:p>
    <w:p>
      <w:pPr>
        <w:pStyle w:val="Subject"/>
      </w:pPr>
      <w:r>
        <w:t>Asunto</w:t>
      </w:r>
      <w:r>
        <w:t>:</w:t>
      </w:r>
      <w:r>
        <w:tab/>
      </w:r>
      <w:r>
        <w:t>El impacto de la política de cohesión de la Unión sobre la reducción de las desigualdades sociales en la Unión Europea</w:t>
      </w:r>
    </w:p>
    <w:p>
      <w:pPr>
        <w:pStyle w:val="Body"/>
      </w:pPr>
      <w:r>
        <w:t>La política de cohesión de la Unión es la principal política de inversión de la Unión destinada a reforzar su cohesión económica, social y territorial mediante la reducción de los desequilibrios y las desigualdades entre los Estados miembros y dentro de ellos.</w:t>
      </w:r>
    </w:p>
    <w:p>
      <w:pPr>
        <w:pStyle w:val="Body"/>
      </w:pPr>
      <w:r>
        <w:t>Sin embargo, un estudio reciente</w:t>
      </w:r>
      <w:r>
        <w:rPr>
          <w:rStyle w:val="FootnoteReference"/>
        </w:rPr>
        <w:footnoteReference w:id="0"/>
      </w:r>
      <w:r>
        <w:t>, basado en una encuesta a 2,4 millones de encuestados en la Unión y en el que se evaluó el impacto de la política de cohesión en la desigualdad de ingresos en 231 regiones europeas entre 1989 y 2017, señala su efecto contradictorio. Aunque el estudio confirma que la política de cohesión de la Unión tiene un efecto positivo general en el crecimiento económico medio de cada región, parece beneficiar principalmente a los hogares altamente cualificados y ricos. No llega a los trabajadores poco cualificados ni a los hogares que se enfrentan a la pobreza y la exclusión social, por lo que agrava la desigualdad en las regiones de la Unión.</w:t>
      </w:r>
    </w:p>
    <w:p>
      <w:pPr>
        <w:pStyle w:val="Body"/>
      </w:pPr>
      <w:r>
        <w:t>A la luz de estos resultados empíricos locales y de la recomendación de pasar de políticas de base local a políticas más basadas en las personas, ¿tiene previsto la Comisión revisar la eficacia de la política de cohesión a la hora de reducir las desigualdades intrarregionales y proponer los cambios pertinentes en los criterios de admisibilidad? ¿Qué otras medidas concretas va a adoptar la Comisión para garantizar que la política de cohesión de la Unión complemente los objetivos de la política social de la Unión?</w:t>
      </w:r>
    </w:p>
    <w:p>
      <w:pPr>
        <w:pStyle w:val="Body"/>
      </w:pPr>
      <w:r>
        <w:t>Presentación:4.5.2023</w:t>
      </w:r>
    </w:p>
    <w:sectPr>
      <w:footerReference w:type="even" r:id="rId5"/>
      <w:footerReference w:type="default" r:id="rId6"/>
      <w:footerReference w:type="first" r:id="rId7"/>
      <w:pgSz w:w="11906" w:h="16838"/>
      <w:pgMar w:top="1440" w:right="1440" w:bottom="2000" w:left="1440" w:header="568" w:footer="568" w:gutter="0"/>
      <w:cols w:num="1"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pPr>
    <w:r>
      <w:tab/>
    </w:r>
    <w:r>
      <w:tab/>
    </w:r>
    <w:r>
      <w:t>PE748.842v01-00</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pPr>
    <w:r>
      <w:tab/>
    </w:r>
    <w:r>
      <w:tab/>
    </w:r>
    <w:r>
      <w:t>PE748.842v01-00</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pPr>
    <w:r>
      <w:tab/>
    </w:r>
    <w:r>
      <w:tab/>
    </w:r>
    <w:r>
      <w:t>PE748.842v01-00</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id="0">
    <w:p>
      <w:pPr>
        <w:pStyle w:val="FootnoteText"/>
      </w:pPr>
      <w:r>
        <w:rPr>
          <w:rStyle w:val="FootnoteReference"/>
        </w:rPr>
        <w:footnoteRef/>
      </w:r>
      <w:r>
        <w:t xml:space="preserve"> </w:t>
      </w:r>
      <w:r>
        <w:tab/>
      </w:r>
      <w:r>
        <w:t>Lang, V., Redeker, N., y Bischof, D.:</w:t>
      </w:r>
      <w:r>
        <w:rPr>
          <w:rStyle w:val="Italic"/>
        </w:rPr>
        <w:t>Place-Based Policies and Inequality Within Regions</w:t>
      </w:r>
      <w:r>
        <w:t>(Políticas de base local y desigualdad dentro de las regiones), OSF Preprints, 3 de agosto de 2022, https://doi.org/10.31219/osf.io/2xmzj.</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grammar="clean"/>
  <w:stylePaneFormatFilter w:val="3F01"/>
  <w:defaultTabStop w:val="720"/>
  <w:evenAndOddHeaders/>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tabs>
        <w:tab w:val="left" w:pos="425"/>
        <w:tab w:val="left" w:pos="851"/>
        <w:tab w:val="left" w:pos="1276"/>
      </w:tabs>
      <w:spacing w:after="240"/>
    </w:pPr>
    <w:rPr>
      <w:rFonts w:ascii="Arial" w:hAnsi="Arial"/>
    </w:rPr>
  </w:style>
  <w:style w:type="paragraph" w:styleId="Heading1">
    <w:name w:val="heading 1"/>
    <w:basedOn w:val="Normal"/>
    <w:next w:val="Normal"/>
    <w:link w:val="Heading1Char"/>
    <w:qFormat/>
    <w:rsid w:val="004B33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semiHidden/>
    <w:unhideWhenUsed/>
  </w:style>
  <w:style w:type="table" w:default="1" w:styleId="TableNormal">
    <w:name w:val="Normal Table"/>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character" w:styleId="FootnoteReference">
    <w:name w:val="footnote reference"/>
    <w:rsid w:val="00782D12"/>
    <w:rPr>
      <w:rFonts w:ascii="Arial" w:hAnsi="Arial" w:cs="Arial"/>
      <w:b w:val="0"/>
      <w:i w:val="0"/>
      <w:caps w:val="0"/>
      <w:smallCaps w:val="0"/>
      <w:strike w:val="0"/>
      <w:dstrike w:val="0"/>
      <w:vanish w:val="0"/>
      <w:color w:val="auto"/>
      <w:spacing w:val="0"/>
      <w:w w:val="100"/>
      <w:kern w:val="0"/>
      <w:position w:val="0"/>
      <w:sz w:val="18"/>
      <w:u w:val="none"/>
      <w:effect w:val="none"/>
      <w:vertAlign w:val="superscript"/>
    </w:rPr>
  </w:style>
  <w:style w:type="paragraph" w:styleId="Header">
    <w:name w:val="header"/>
    <w:basedOn w:val="Normal"/>
    <w:pPr>
      <w:tabs>
        <w:tab w:val="center" w:pos="4153"/>
        <w:tab w:val="right" w:pos="8306"/>
      </w:tabs>
    </w:pPr>
  </w:style>
  <w:style w:type="paragraph" w:styleId="Footer">
    <w:name w:val="footer"/>
    <w:basedOn w:val="Normal"/>
    <w:rsid w:val="00F816F6"/>
    <w:pPr>
      <w:tabs>
        <w:tab w:val="clear" w:pos="425"/>
        <w:tab w:val="clear" w:pos="851"/>
        <w:tab w:val="clear" w:pos="1276"/>
        <w:tab w:val="center" w:pos="4536"/>
        <w:tab w:val="right" w:pos="9072"/>
      </w:tabs>
      <w:spacing w:before="240"/>
    </w:pPr>
    <w:rPr>
      <w:snapToGrid w:val="0"/>
      <w:sz w:val="22"/>
    </w:rPr>
  </w:style>
  <w:style w:type="character" w:styleId="PageNumber">
    <w:name w:val="page number"/>
    <w:basedOn w:val="DefaultParagraphFont"/>
  </w:style>
  <w:style w:type="paragraph" w:styleId="FootnoteText">
    <w:name w:val="footnote text"/>
    <w:semiHidden/>
    <w:rsid w:val="003D124A"/>
    <w:pPr>
      <w:tabs>
        <w:tab w:val="left" w:pos="284"/>
      </w:tabs>
      <w:ind w:left="284" w:hanging="284"/>
    </w:pPr>
    <w:rPr>
      <w:rFonts w:ascii="Arial" w:hAnsi="Arial"/>
      <w:sz w:val="18"/>
    </w:rPr>
  </w:style>
  <w:style w:type="paragraph" w:styleId="BalloonText">
    <w:name w:val="Balloon Text"/>
    <w:basedOn w:val="Normal"/>
    <w:semiHidden/>
    <w:rsid w:val="00CD005F"/>
    <w:rPr>
      <w:rFonts w:ascii="Tahoma" w:hAnsi="Tahoma" w:cs="Tahoma"/>
      <w:sz w:val="16"/>
      <w:szCs w:val="16"/>
    </w:rPr>
  </w:style>
  <w:style w:type="character" w:customStyle="1" w:styleId="Bold">
    <w:name w:val="Bold"/>
    <w:basedOn w:val="DefaultParagraphFont"/>
    <w:uiPriority w:val="1"/>
    <w:qFormat/>
    <w:rsid w:val="00344A81"/>
    <w:rPr>
      <w:rFonts w:ascii="Arial" w:hAnsi="Arial"/>
      <w:b/>
      <w:sz w:val="20"/>
    </w:rPr>
  </w:style>
  <w:style w:type="character" w:customStyle="1" w:styleId="Heading1Char">
    <w:name w:val="Heading 1 Char"/>
    <w:basedOn w:val="DefaultParagraphFont"/>
    <w:link w:val="Heading1"/>
    <w:rsid w:val="004B3311"/>
    <w:rPr>
      <w:rFonts w:asciiTheme="majorHAnsi" w:eastAsiaTheme="majorEastAsia" w:hAnsiTheme="majorHAnsi" w:cstheme="majorBidi"/>
      <w:b/>
      <w:bCs/>
      <w:snapToGrid w:val="0"/>
      <w:color w:val="365F91" w:themeColor="accent1" w:themeShade="BF"/>
      <w:sz w:val="28"/>
      <w:szCs w:val="28"/>
      <w:lang w:eastAsia="en-US"/>
    </w:rPr>
  </w:style>
  <w:style w:type="paragraph" w:customStyle="1" w:styleId="Arial10">
    <w:name w:val="Arial10"/>
    <w:qFormat/>
    <w:rsid w:val="003A12E2"/>
    <w:rPr>
      <w:rFonts w:ascii="Arial" w:hAnsi="Arial"/>
    </w:rPr>
  </w:style>
  <w:style w:type="character" w:styleId="Hyperlink">
    <w:name w:val="Hyperlink"/>
    <w:basedOn w:val="DefaultParagraphFont"/>
    <w:uiPriority w:val="99"/>
    <w:unhideWhenUsed/>
    <w:rsid w:val="008E6344"/>
    <w:rPr>
      <w:color w:val="0000FF"/>
      <w:u w:val="single"/>
    </w:rPr>
  </w:style>
  <w:style w:type="paragraph" w:customStyle="1" w:styleId="Arial10After10">
    <w:name w:val="Arial10After10"/>
    <w:basedOn w:val="Arial10"/>
    <w:qFormat/>
    <w:rsid w:val="008E6344"/>
    <w:pPr>
      <w:spacing w:after="200"/>
    </w:pPr>
  </w:style>
  <w:style w:type="paragraph" w:customStyle="1" w:styleId="Subject">
    <w:name w:val="Subject"/>
    <w:basedOn w:val="Arial10"/>
    <w:qFormat/>
    <w:rsid w:val="00E275FC"/>
    <w:pPr>
      <w:tabs>
        <w:tab w:val="left" w:pos="1134"/>
      </w:tabs>
      <w:spacing w:after="240"/>
      <w:ind w:left="1134" w:hanging="1134"/>
    </w:pPr>
  </w:style>
  <w:style w:type="paragraph" w:customStyle="1" w:styleId="Body">
    <w:name w:val="Body"/>
    <w:qFormat/>
    <w:rsid w:val="006822FA"/>
    <w:pPr>
      <w:tabs>
        <w:tab w:val="left" w:pos="425"/>
        <w:tab w:val="left" w:pos="851"/>
        <w:tab w:val="left" w:pos="1276"/>
      </w:tabs>
      <w:spacing w:after="240"/>
    </w:pPr>
    <w:rPr>
      <w:rFonts w:ascii="Arial" w:hAnsi="Arial"/>
    </w:rPr>
  </w:style>
  <w:style w:type="paragraph" w:customStyle="1" w:styleId="LeftHanging">
    <w:name w:val="LeftHanging"/>
    <w:qFormat/>
    <w:rsid w:val="00BD0F1F"/>
    <w:pPr>
      <w:spacing w:before="240"/>
      <w:ind w:left="425" w:hanging="425"/>
    </w:pPr>
    <w:rPr>
      <w:rFonts w:ascii="Arial" w:hAnsi="Arial"/>
    </w:rPr>
  </w:style>
  <w:style w:type="paragraph" w:customStyle="1" w:styleId="LeftHangingAfter">
    <w:name w:val="LeftHangingAfter"/>
    <w:basedOn w:val="LeftHanging"/>
    <w:qFormat/>
    <w:rsid w:val="00AB7C55"/>
    <w:pPr>
      <w:spacing w:before="0"/>
    </w:pPr>
  </w:style>
  <w:style w:type="paragraph" w:customStyle="1" w:styleId="itemList">
    <w:name w:val="itemList"/>
    <w:qFormat/>
    <w:rsid w:val="005024D7"/>
    <w:pPr>
      <w:tabs>
        <w:tab w:val="left" w:pos="425"/>
        <w:tab w:val="left" w:pos="851"/>
        <w:tab w:val="left" w:pos="1276"/>
      </w:tabs>
      <w:spacing w:after="240"/>
      <w:ind w:left="425" w:hanging="425"/>
    </w:pPr>
    <w:rPr>
      <w:rFonts w:ascii="Arial" w:hAnsi="Arial"/>
    </w:rPr>
  </w:style>
  <w:style w:type="paragraph" w:customStyle="1" w:styleId="Supporter">
    <w:name w:val="Supporter"/>
    <w:basedOn w:val="Body"/>
    <w:qFormat/>
    <w:rsid w:val="00CD50AF"/>
    <w:pPr>
      <w:spacing w:before="840"/>
    </w:pPr>
  </w:style>
  <w:style w:type="paragraph" w:customStyle="1" w:styleId="Footer2">
    <w:name w:val="Footer2"/>
    <w:basedOn w:val="Normal"/>
    <w:link w:val="Footer2Char"/>
    <w:qFormat/>
    <w:rsid w:val="000B4A67"/>
    <w:pPr>
      <w:tabs>
        <w:tab w:val="clear" w:pos="425"/>
        <w:tab w:val="clear" w:pos="851"/>
        <w:tab w:val="clear" w:pos="1276"/>
        <w:tab w:val="center" w:pos="4536"/>
        <w:tab w:val="right" w:pos="9923"/>
      </w:tabs>
      <w:ind w:left="-851" w:right="-851"/>
    </w:pPr>
    <w:rPr>
      <w:sz w:val="48"/>
    </w:rPr>
  </w:style>
  <w:style w:type="character" w:customStyle="1" w:styleId="Footer2Lang">
    <w:name w:val="Footer2Lang"/>
    <w:uiPriority w:val="1"/>
    <w:qFormat/>
    <w:rsid w:val="000B4A67"/>
    <w:rPr>
      <w:rFonts w:ascii="Arial" w:hAnsi="Arial"/>
      <w:b/>
      <w:sz w:val="48"/>
    </w:rPr>
  </w:style>
  <w:style w:type="character" w:customStyle="1" w:styleId="Footer2Char">
    <w:name w:val="Footer2 Char"/>
    <w:basedOn w:val="DefaultParagraphFont"/>
    <w:link w:val="Footer2"/>
    <w:rsid w:val="000B4A67"/>
    <w:rPr>
      <w:rFonts w:ascii="Arial" w:hAnsi="Arial"/>
      <w:sz w:val="48"/>
    </w:rPr>
  </w:style>
  <w:style w:type="character" w:customStyle="1" w:styleId="Footer2Middle">
    <w:name w:val="Footer2Middle"/>
    <w:uiPriority w:val="1"/>
    <w:qFormat/>
    <w:rsid w:val="000B4A67"/>
    <w:rPr>
      <w:rFonts w:ascii="Arial" w:hAnsi="Arial"/>
      <w:i/>
      <w:color w:val="BFBFBF" w:themeColor="background1" w:themeShade="BF"/>
      <w:sz w:val="22"/>
    </w:rPr>
  </w:style>
  <w:style w:type="paragraph" w:customStyle="1" w:styleId="SessionDocument">
    <w:name w:val="SessionDocument"/>
    <w:qFormat/>
    <w:rsid w:val="00F63011"/>
    <w:pPr>
      <w:jc w:val="center"/>
    </w:pPr>
    <w:rPr>
      <w:rFonts w:ascii="Arial" w:hAnsi="Arial"/>
      <w:i/>
      <w:sz w:val="22"/>
    </w:rPr>
  </w:style>
  <w:style w:type="paragraph" w:customStyle="1" w:styleId="LineBottom">
    <w:name w:val="LineBottom"/>
    <w:qFormat/>
    <w:rsid w:val="00C01FA6"/>
    <w:pPr>
      <w:pBdr>
        <w:bottom w:val="single" w:sz="4" w:space="1" w:color="auto"/>
      </w:pBdr>
      <w:spacing w:after="1080"/>
      <w:jc w:val="center"/>
    </w:pPr>
    <w:rPr>
      <w:rFonts w:ascii="Arial" w:hAnsi="Arial"/>
      <w:sz w:val="16"/>
    </w:rPr>
  </w:style>
  <w:style w:type="paragraph" w:customStyle="1" w:styleId="LineTop">
    <w:name w:val="LineTop"/>
    <w:next w:val="SessionDocument"/>
    <w:qFormat/>
    <w:rsid w:val="00884286"/>
    <w:pPr>
      <w:pBdr>
        <w:top w:val="single" w:sz="4" w:space="1" w:color="auto"/>
      </w:pBdr>
    </w:pPr>
    <w:rPr>
      <w:rFonts w:ascii="Arial" w:hAnsi="Arial"/>
      <w:sz w:val="16"/>
    </w:rPr>
  </w:style>
  <w:style w:type="paragraph" w:customStyle="1" w:styleId="EPLogo">
    <w:name w:val="EPLogo"/>
    <w:basedOn w:val="Normal"/>
    <w:qFormat/>
    <w:rsid w:val="00A05278"/>
    <w:pPr>
      <w:jc w:val="right"/>
    </w:pPr>
  </w:style>
  <w:style w:type="paragraph" w:customStyle="1" w:styleId="EPName">
    <w:name w:val="EPName"/>
    <w:basedOn w:val="Normal"/>
    <w:qFormat/>
    <w:rsid w:val="00475435"/>
    <w:pPr>
      <w:spacing w:before="80" w:after="80"/>
    </w:pPr>
    <w:rPr>
      <w:rFonts w:ascii="Arial Narrow" w:hAnsi="Arial Narrow"/>
      <w:b/>
      <w:color w:val="000000" w:themeColor="text1"/>
      <w:sz w:val="32"/>
    </w:rPr>
  </w:style>
  <w:style w:type="paragraph" w:customStyle="1" w:styleId="EPTerm">
    <w:name w:val="EPTerm"/>
    <w:basedOn w:val="Normal"/>
    <w:next w:val="Normal"/>
    <w:qFormat/>
    <w:rsid w:val="00475435"/>
    <w:pPr>
      <w:spacing w:after="80"/>
    </w:pPr>
  </w:style>
  <w:style w:type="paragraph" w:customStyle="1" w:styleId="Arial10Date">
    <w:name w:val="Arial10Date"/>
    <w:basedOn w:val="Arial10"/>
    <w:qFormat/>
    <w:rsid w:val="00E258AE"/>
    <w:pPr>
      <w:tabs>
        <w:tab w:val="left" w:pos="0"/>
        <w:tab w:val="right" w:pos="9072"/>
      </w:tabs>
      <w:spacing w:after="400"/>
    </w:pPr>
  </w:style>
  <w:style w:type="character" w:customStyle="1" w:styleId="HideTWBExt">
    <w:name w:val="HideTWBExt"/>
    <w:uiPriority w:val="1"/>
    <w:qFormat/>
    <w:rsid w:val="00DC6131"/>
    <w:rPr>
      <w:rFonts w:ascii="Arial" w:hAnsi="Arial"/>
      <w:vanish/>
      <w:color w:val="1F497D" w:themeColor="text2"/>
      <w:sz w:val="20"/>
    </w:rPr>
  </w:style>
  <w:style w:type="character" w:customStyle="1" w:styleId="Italic">
    <w:name w:val="Italic"/>
    <w:uiPriority w:val="1"/>
    <w:qFormat/>
    <w:rsid w:val="00644428"/>
    <w:rPr>
      <w:i/>
    </w:rPr>
  </w:style>
  <w:style w:type="character" w:customStyle="1" w:styleId="Sub">
    <w:name w:val="Sub"/>
    <w:uiPriority w:val="1"/>
    <w:qFormat/>
    <w:rsid w:val="00776240"/>
    <w:rPr>
      <w:vertAlign w:val="subscript"/>
    </w:rPr>
  </w:style>
  <w:style w:type="character" w:customStyle="1" w:styleId="Sup">
    <w:name w:val="Sup"/>
    <w:uiPriority w:val="1"/>
    <w:qFormat/>
    <w:rsid w:val="00776240"/>
    <w:rPr>
      <w:vertAlign w:val="superscript"/>
    </w:rPr>
  </w:style>
  <w:style w:type="character" w:customStyle="1" w:styleId="ItalicSub">
    <w:name w:val="ItalicSub"/>
    <w:uiPriority w:val="1"/>
    <w:qFormat/>
    <w:rsid w:val="00776240"/>
    <w:rPr>
      <w:i/>
      <w:vertAlign w:val="subscript"/>
    </w:rPr>
  </w:style>
  <w:style w:type="character" w:customStyle="1" w:styleId="ItalicSup">
    <w:name w:val="ItalicSup"/>
    <w:uiPriority w:val="1"/>
    <w:qFormat/>
    <w:rsid w:val="00776240"/>
    <w:rPr>
      <w:i/>
      <w:vertAlign w:val="superscript"/>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Pregunta con solicitud de respuesta escrita</dc:title>
  <dc:creator>e-Parliament@europarl.europa.eu</dc:creator>
  <cp:lastModifiedBy>e-Parliament@europarl.europa.eu</cp:lastModifiedBy>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XMLUID">
    <vt:lpwstr>20230717-153019-000421-678447</vt:lpwstr>
  </property>
</Properties>
</file>