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E-000524/2023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Domènec Ruiz Devesa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Juan Fernando López Aguilar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Javier Moreno Sánchez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Brando Benifei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Pietro Bartolo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Dietmar Köster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Laura Ferrara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Alessandra Moretti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Daniela Rondinelli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Massimiliano Smeriglio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Pina Picierno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Patrizia Toia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Beatrice Covassi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Piernicola Pedicini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Nacho Sánchez Amor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Sylvie Guillaume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Pierre Larrouturou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Thijs Reuten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Ernest Urtasun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Tineke Strik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Salima Yenbou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Jan-Christoph Oetjen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Damien Carême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Carlos Zorrinho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Isabel Carvalhais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Matjaž Nemec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Milan Brglez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Theresa Bielowski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Miguel Urbán Crespo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Rosa D'Amato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Charles Goerens</w:t>
      </w:r>
      <w:r>
        <w:t xml:space="preserve"> (</w:t>
      </w:r>
      <w:r>
        <w:t>Renew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 xml:space="preserve">Decreto ley italiano sobre disposiciones urgentes para la gestión de los flujos migratorios </w:t>
      </w:r>
    </w:p>
    <w:p>
      <w:pPr>
        <w:pStyle w:val="Body"/>
      </w:pPr>
      <w:r>
        <w:t>El 3 de enero de 2023 entró en vigor en Italia el Decreto Ley n.º 1/2023 sobre disposiciones urgentes para la gestión de los flujos migratorios. Exige que los buques civiles de rescate se dirijan inmediatamente a un puerto designado, a menudo lejano, después de cada rescate, lo que retrasa las operaciones de búsqueda y salvamento. Este retraso se ve agravado por el hecho de que los buques suelen realizar múltiples rescates a lo largo de varios días. La organización no gubernamental (ONG) Médicos Sin Fronteras estima que, si en 2022 sus buques se hubieran visto obligados a retornar después de cada primera operación de rescate, el número de personas que habría salvado se habría reducido de 3 050 a solo 1 030.</w:t>
      </w:r>
    </w:p>
    <w:p>
      <w:pPr>
        <w:pStyle w:val="Body"/>
      </w:pPr>
      <w:r>
        <w:t>Además, el Decreto Ley obliga a las ONG a poner en marcha iniciativas destinadas a informar a las personas rescatadas sobre la posibilidad de solicitar protección internacional y a compartir con las autoridades competentes todos los datos que recopilen.</w:t>
      </w:r>
    </w:p>
    <w:p>
      <w:pPr>
        <w:pStyle w:val="itemList"/>
      </w:pPr>
      <w:r>
        <w:t>1.</w:t>
      </w:r>
      <w:r>
        <w:tab/>
      </w:r>
      <w:r>
        <w:t>¿Considera la Comisión que el Decreto Ley n.º 1/2023 está en consonancia con el Derecho marítimo y el Derecho en materia de derechos humanos europeo y mundial, en particular la Convención de las Naciones Unidas sobre el Derecho del Mar y el Convenio Internacional sobre Búsqueda y Salvamento Marítimos?</w:t>
      </w:r>
    </w:p>
    <w:p>
      <w:pPr>
        <w:pStyle w:val="itemList"/>
      </w:pPr>
      <w:r>
        <w:t>2.</w:t>
      </w:r>
      <w:r>
        <w:tab/>
      </w:r>
      <w:r>
        <w:t>¿Estaría a favor de que las ONG recopilen datos a bordo de buques privados e inicien procedimientos de asilo, o cree más bien que esta labor debe seguir siendo responsabilidad de los Estados?</w:t>
      </w:r>
    </w:p>
    <w:p>
      <w:pPr>
        <w:pStyle w:val="Body"/>
      </w:pPr>
      <w:r>
        <w:t>Presentación:20.2.2023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PE744.176v01-00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PE744.176v01-00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PE744.176v01-00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20230731-122018-004553-294499</vt:lpwstr>
  </property>
</Properties>
</file>