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prioritaria con solicitud de respuesta escrita P-004959/2021</w:t>
      </w:r>
    </w:p>
    <w:p>
      <w:pPr>
        <w:pStyle w:val="Arial10"/>
      </w:pPr>
      <w:r>
        <w:rPr>
          <w:rStyle w:val="Bold"/>
        </w:rPr>
        <w:t>a la Comisión</w:t>
      </w:r>
    </w:p>
    <w:p>
      <w:pPr>
        <w:pStyle w:val="Arial10"/>
      </w:pPr>
      <w:r>
        <w:t>Artículo 138 del Reglamento interno</w:t>
      </w:r>
    </w:p>
    <w:p>
      <w:pPr>
        <w:pStyle w:val="Arial10After10"/>
      </w:pPr>
      <w:r>
        <w:rPr>
          <w:rStyle w:val="Bold"/>
        </w:rPr>
        <w:t>Domènec Ruiz Devesa</w:t>
      </w:r>
      <w:r>
        <w:t xml:space="preserve"> (</w:t>
      </w:r>
      <w:r>
        <w:t>S&amp;D</w:t>
      </w:r>
      <w:r>
        <w:t xml:space="preserve">), </w:t>
      </w:r>
      <w:r>
        <w:rPr>
          <w:rStyle w:val="Bold"/>
        </w:rPr>
        <w:t>Juan Fernando López Aguilar</w:t>
      </w:r>
      <w:r>
        <w:t xml:space="preserve"> (</w:t>
      </w:r>
      <w:r>
        <w:t>S&amp;D</w:t>
      </w:r>
      <w:r>
        <w:t xml:space="preserve">), </w:t>
      </w:r>
      <w:r>
        <w:rPr>
          <w:rStyle w:val="Bold"/>
        </w:rPr>
        <w:t>Javier Moreno Sánchez</w:t>
      </w:r>
      <w:r>
        <w:t xml:space="preserve"> (</w:t>
      </w:r>
      <w:r>
        <w:t>S&amp;D</w:t>
      </w:r>
      <w:r>
        <w:t xml:space="preserve">), </w:t>
      </w:r>
      <w:r>
        <w:rPr>
          <w:rStyle w:val="Bold"/>
        </w:rPr>
        <w:t>Dietmar Köster</w:t>
      </w:r>
      <w:r>
        <w:t xml:space="preserve"> (</w:t>
      </w:r>
      <w:r>
        <w:t>S&amp;D</w:t>
      </w:r>
      <w:r>
        <w:t xml:space="preserve">), </w:t>
      </w:r>
      <w:r>
        <w:rPr>
          <w:rStyle w:val="Bold"/>
        </w:rPr>
        <w:t>Thijs Reuten</w:t>
      </w:r>
      <w:r>
        <w:t xml:space="preserve"> (</w:t>
      </w:r>
      <w:r>
        <w:t>S&amp;D</w:t>
      </w:r>
      <w:r>
        <w:t xml:space="preserve">), </w:t>
      </w:r>
      <w:r>
        <w:rPr>
          <w:rStyle w:val="Bold"/>
        </w:rPr>
        <w:t>Pietro Bartolo</w:t>
      </w:r>
      <w:r>
        <w:t xml:space="preserve"> (</w:t>
      </w:r>
      <w:r>
        <w:t>S&amp;D</w:t>
      </w:r>
      <w:r>
        <w:t xml:space="preserve">), </w:t>
      </w:r>
      <w:r>
        <w:rPr>
          <w:rStyle w:val="Bold"/>
        </w:rPr>
        <w:t>Cyrus Engerer</w:t>
      </w:r>
      <w:r>
        <w:t xml:space="preserve"> (</w:t>
      </w:r>
      <w:r>
        <w:t>S&amp;D</w:t>
      </w:r>
      <w:r>
        <w:t xml:space="preserve">), </w:t>
      </w:r>
      <w:r>
        <w:rPr>
          <w:rStyle w:val="Bold"/>
        </w:rPr>
        <w:t>Konstantinos Arvanitis</w:t>
      </w:r>
      <w:r>
        <w:t xml:space="preserve"> (</w:t>
      </w:r>
      <w:r>
        <w:t>The Left</w:t>
      </w:r>
      <w:r>
        <w:t xml:space="preserve">), </w:t>
      </w:r>
      <w:r>
        <w:rPr>
          <w:rStyle w:val="Bold"/>
        </w:rPr>
        <w:t>Raphaël Glucksmann</w:t>
      </w:r>
      <w:r>
        <w:t xml:space="preserve"> (</w:t>
      </w:r>
      <w:r>
        <w:t>S&amp;D</w:t>
      </w:r>
      <w:r>
        <w:t xml:space="preserve">), </w:t>
      </w:r>
      <w:r>
        <w:rPr>
          <w:rStyle w:val="Bold"/>
        </w:rPr>
        <w:t>Pierfrancesco Majorino</w:t>
      </w:r>
      <w:r>
        <w:t xml:space="preserve"> (</w:t>
      </w:r>
      <w:r>
        <w:t>S&amp;D</w:t>
      </w:r>
      <w:r>
        <w:t xml:space="preserve">), </w:t>
      </w:r>
      <w:r>
        <w:rPr>
          <w:rStyle w:val="Bold"/>
        </w:rPr>
        <w:t>Giuliano Pisapia</w:t>
      </w:r>
      <w:r>
        <w:t xml:space="preserve"> (</w:t>
      </w:r>
      <w:r>
        <w:t>S&amp;D</w:t>
      </w:r>
      <w:r>
        <w:t xml:space="preserve">), </w:t>
      </w:r>
      <w:r>
        <w:rPr>
          <w:rStyle w:val="Bold"/>
        </w:rPr>
        <w:t>Elisabetta Gualmini</w:t>
      </w:r>
      <w:r>
        <w:t xml:space="preserve"> (</w:t>
      </w:r>
      <w:r>
        <w:t>S&amp;D</w:t>
      </w:r>
      <w:r>
        <w:t xml:space="preserve">), </w:t>
      </w:r>
      <w:r>
        <w:rPr>
          <w:rStyle w:val="Bold"/>
        </w:rPr>
        <w:t>Margarida Marques</w:t>
      </w:r>
      <w:r>
        <w:t xml:space="preserve"> (</w:t>
      </w:r>
      <w:r>
        <w:t>S&amp;D</w:t>
      </w:r>
      <w:r>
        <w:t xml:space="preserve">), </w:t>
      </w:r>
      <w:r>
        <w:rPr>
          <w:rStyle w:val="Bold"/>
        </w:rPr>
        <w:t>Evin Incir</w:t>
      </w:r>
      <w:r>
        <w:t xml:space="preserve"> (</w:t>
      </w:r>
      <w:r>
        <w:t>S&amp;D</w:t>
      </w:r>
      <w:r>
        <w:t xml:space="preserve">), </w:t>
      </w:r>
      <w:r>
        <w:rPr>
          <w:rStyle w:val="Bold"/>
        </w:rPr>
        <w:t>Andreas Schieder</w:t>
      </w:r>
      <w:r>
        <w:t xml:space="preserve"> (</w:t>
      </w:r>
      <w:r>
        <w:t>S&amp;D</w:t>
      </w:r>
      <w:r>
        <w:t xml:space="preserve">), </w:t>
      </w:r>
      <w:r>
        <w:rPr>
          <w:rStyle w:val="Bold"/>
        </w:rPr>
        <w:t>Isabel Santos</w:t>
      </w:r>
      <w:r>
        <w:t xml:space="preserve"> (</w:t>
      </w:r>
      <w:r>
        <w:t>S&amp;D</w:t>
      </w:r>
      <w:r>
        <w:t xml:space="preserve">), </w:t>
      </w:r>
      <w:r>
        <w:rPr>
          <w:rStyle w:val="Bold"/>
        </w:rPr>
        <w:t>Aurore Lalucq</w:t>
      </w:r>
      <w:r>
        <w:t xml:space="preserve"> (</w:t>
      </w:r>
      <w:r>
        <w:t>S&amp;D</w:t>
      </w:r>
      <w:r>
        <w:t xml:space="preserve">), </w:t>
      </w:r>
      <w:r>
        <w:rPr>
          <w:rStyle w:val="Bold"/>
        </w:rPr>
        <w:t>Alessandra Moretti</w:t>
      </w:r>
      <w:r>
        <w:t xml:space="preserve"> (</w:t>
      </w:r>
      <w:r>
        <w:t>S&amp;D</w:t>
      </w:r>
      <w:r>
        <w:t xml:space="preserve">), </w:t>
      </w:r>
      <w:r>
        <w:rPr>
          <w:rStyle w:val="Bold"/>
        </w:rPr>
        <w:t>Andrea Cozzolino</w:t>
      </w:r>
      <w:r>
        <w:t xml:space="preserve"> (</w:t>
      </w:r>
      <w:r>
        <w:t>S&amp;D</w:t>
      </w:r>
      <w:r>
        <w:t xml:space="preserve">), </w:t>
      </w:r>
      <w:r>
        <w:rPr>
          <w:rStyle w:val="Bold"/>
        </w:rPr>
        <w:t>Tanja Fajon</w:t>
      </w:r>
      <w:r>
        <w:t xml:space="preserve"> (</w:t>
      </w:r>
      <w:r>
        <w:t>S&amp;D</w:t>
      </w:r>
      <w:r>
        <w:t xml:space="preserve">), </w:t>
      </w:r>
      <w:r>
        <w:rPr>
          <w:rStyle w:val="Bold"/>
        </w:rPr>
        <w:t>Bettina Vollath</w:t>
      </w:r>
      <w:r>
        <w:t xml:space="preserve"> (</w:t>
      </w:r>
      <w:r>
        <w:t>S&amp;D</w:t>
      </w:r>
      <w:r>
        <w:t xml:space="preserve">), </w:t>
      </w:r>
      <w:r>
        <w:rPr>
          <w:rStyle w:val="Bold"/>
        </w:rPr>
        <w:t>Viola Von Cramon-Taubadel</w:t>
      </w:r>
      <w:r>
        <w:t xml:space="preserve"> (</w:t>
      </w:r>
      <w:r>
        <w:t>Verts/ALE</w:t>
      </w:r>
      <w:r>
        <w:t xml:space="preserve">), </w:t>
      </w:r>
      <w:r>
        <w:rPr>
          <w:rStyle w:val="Bold"/>
        </w:rPr>
        <w:t>Pina Picierno</w:t>
      </w:r>
      <w:r>
        <w:t xml:space="preserve"> (</w:t>
      </w:r>
      <w:r>
        <w:t>S&amp;D</w:t>
      </w:r>
      <w:r>
        <w:t xml:space="preserve">), </w:t>
      </w:r>
      <w:r>
        <w:rPr>
          <w:rStyle w:val="Bold"/>
        </w:rPr>
        <w:t>Brando Benifei</w:t>
      </w:r>
      <w:r>
        <w:t xml:space="preserve"> (</w:t>
      </w:r>
      <w:r>
        <w:t>S&amp;D</w:t>
      </w:r>
      <w:r>
        <w:t xml:space="preserve">), </w:t>
      </w:r>
      <w:r>
        <w:rPr>
          <w:rStyle w:val="Bold"/>
        </w:rPr>
        <w:t>Margrete Auken</w:t>
      </w:r>
      <w:r>
        <w:t xml:space="preserve"> (</w:t>
      </w:r>
      <w:r>
        <w:t>Verts/ALE</w:t>
      </w:r>
      <w:r>
        <w:t xml:space="preserve">), </w:t>
      </w:r>
      <w:r>
        <w:rPr>
          <w:rStyle w:val="Bold"/>
        </w:rPr>
        <w:t>Eric Andrieu</w:t>
      </w:r>
      <w:r>
        <w:t xml:space="preserve"> (</w:t>
      </w:r>
      <w:r>
        <w:t>S&amp;D</w:t>
      </w:r>
      <w:r>
        <w:t xml:space="preserve">), </w:t>
      </w:r>
      <w:r>
        <w:rPr>
          <w:rStyle w:val="Bold"/>
        </w:rPr>
        <w:t>Isabel Carvalhais</w:t>
      </w:r>
      <w:r>
        <w:t xml:space="preserve"> (</w:t>
      </w:r>
      <w:r>
        <w:t>S&amp;D</w:t>
      </w:r>
      <w:r>
        <w:t xml:space="preserve">), </w:t>
      </w:r>
      <w:r>
        <w:rPr>
          <w:rStyle w:val="Bold"/>
        </w:rPr>
        <w:t>Hannes Heide</w:t>
      </w:r>
      <w:r>
        <w:t xml:space="preserve"> (</w:t>
      </w:r>
      <w:r>
        <w:t>S&amp;D</w:t>
      </w:r>
      <w:r>
        <w:t xml:space="preserve">), </w:t>
      </w:r>
      <w:r>
        <w:rPr>
          <w:rStyle w:val="Bold"/>
        </w:rPr>
        <w:t>César Luena</w:t>
      </w:r>
      <w:r>
        <w:t xml:space="preserve"> (</w:t>
      </w:r>
      <w:r>
        <w:t>S&amp;D</w:t>
      </w:r>
      <w:r>
        <w:t xml:space="preserve">), </w:t>
      </w:r>
      <w:r>
        <w:rPr>
          <w:rStyle w:val="Bold"/>
        </w:rPr>
        <w:t>Yannick Jadot</w:t>
      </w:r>
      <w:r>
        <w:t xml:space="preserve"> (</w:t>
      </w:r>
      <w:r>
        <w:t>Verts/ALE</w:t>
      </w:r>
      <w:r>
        <w:t xml:space="preserve">), </w:t>
      </w:r>
      <w:r>
        <w:rPr>
          <w:rStyle w:val="Bold"/>
        </w:rPr>
        <w:t>Demetris Papadakis</w:t>
      </w:r>
      <w:r>
        <w:t xml:space="preserve"> (</w:t>
      </w:r>
      <w:r>
        <w:t>S&amp;D</w:t>
      </w:r>
      <w:r>
        <w:t xml:space="preserve">), </w:t>
      </w:r>
      <w:r>
        <w:rPr>
          <w:rStyle w:val="Bold"/>
        </w:rPr>
        <w:t>Sirpa Pietikäinen</w:t>
      </w:r>
      <w:r>
        <w:t xml:space="preserve"> (</w:t>
      </w:r>
      <w:r>
        <w:t>PPE</w:t>
      </w:r>
      <w:r>
        <w:t xml:space="preserve">), </w:t>
      </w:r>
      <w:r>
        <w:rPr>
          <w:rStyle w:val="Bold"/>
        </w:rPr>
        <w:t>Dimitrios Papadimoulis</w:t>
      </w:r>
      <w:r>
        <w:t xml:space="preserve"> (</w:t>
      </w:r>
      <w:r>
        <w:t>The Left</w:t>
      </w:r>
      <w:r>
        <w:t xml:space="preserve">), </w:t>
      </w:r>
      <w:r>
        <w:rPr>
          <w:rStyle w:val="Bold"/>
        </w:rPr>
        <w:t>Elżbieta Kruk</w:t>
      </w:r>
      <w:r>
        <w:t xml:space="preserve"> (</w:t>
      </w:r>
      <w:r>
        <w:t>ECR</w:t>
      </w:r>
      <w:r>
        <w:t xml:space="preserve">), </w:t>
      </w:r>
      <w:r>
        <w:rPr>
          <w:rStyle w:val="Bold"/>
        </w:rPr>
        <w:t>Salima Yenbou</w:t>
      </w:r>
      <w:r>
        <w:t xml:space="preserve"> (</w:t>
      </w:r>
      <w:r>
        <w:t>Verts/ALE</w:t>
      </w:r>
      <w:r>
        <w:t xml:space="preserve">), </w:t>
      </w:r>
      <w:r>
        <w:rPr>
          <w:rStyle w:val="Bold"/>
        </w:rPr>
        <w:t>Ernest Urtasun</w:t>
      </w:r>
      <w:r>
        <w:t xml:space="preserve"> (</w:t>
      </w:r>
      <w:r>
        <w:t>Verts/ALE</w:t>
      </w:r>
      <w:r>
        <w:t xml:space="preserve">), </w:t>
      </w:r>
      <w:r>
        <w:rPr>
          <w:rStyle w:val="Bold"/>
        </w:rPr>
        <w:t>Pascal Durand</w:t>
      </w:r>
      <w:r>
        <w:t xml:space="preserve"> (</w:t>
      </w:r>
      <w:r>
        <w:t>Renew</w:t>
      </w:r>
      <w:r>
        <w:t xml:space="preserve">), </w:t>
      </w:r>
      <w:r>
        <w:rPr>
          <w:rStyle w:val="Bold"/>
        </w:rPr>
        <w:t>Maria Arena</w:t>
      </w:r>
      <w:r>
        <w:t xml:space="preserve"> (</w:t>
      </w:r>
      <w:r>
        <w:t>S&amp;D</w:t>
      </w:r>
      <w:r>
        <w:t xml:space="preserve">), </w:t>
      </w:r>
      <w:r>
        <w:rPr>
          <w:rStyle w:val="Bold"/>
        </w:rPr>
        <w:t>Alviina Alametsä</w:t>
      </w:r>
      <w:r>
        <w:t xml:space="preserve"> (</w:t>
      </w:r>
      <w:r>
        <w:t>Verts/ALE</w:t>
      </w:r>
      <w:r>
        <w:t xml:space="preserve">), </w:t>
      </w:r>
      <w:r>
        <w:rPr>
          <w:rStyle w:val="Bold"/>
        </w:rPr>
        <w:t>Eugenia Rodríguez Palop</w:t>
      </w:r>
      <w:r>
        <w:t xml:space="preserve"> (</w:t>
      </w:r>
      <w:r>
        <w:t>The Left</w:t>
      </w:r>
      <w:r>
        <w:t xml:space="preserve">), </w:t>
      </w:r>
      <w:r>
        <w:rPr>
          <w:rStyle w:val="Bold"/>
        </w:rPr>
        <w:t>Ignazio Corrao</w:t>
      </w:r>
      <w:r>
        <w:t xml:space="preserve"> (</w:t>
      </w:r>
      <w:r>
        <w:t>Verts/ALE</w:t>
      </w:r>
      <w:r>
        <w:t xml:space="preserve">), </w:t>
      </w:r>
      <w:r>
        <w:rPr>
          <w:rStyle w:val="Bold"/>
        </w:rPr>
        <w:t>Sylvie Guillaume</w:t>
      </w:r>
      <w:r>
        <w:t xml:space="preserve"> (</w:t>
      </w:r>
      <w:r>
        <w:t>S&amp;D</w:t>
      </w:r>
      <w:r>
        <w:t>)</w:t>
      </w:r>
    </w:p>
    <w:p>
      <w:pPr>
        <w:pStyle w:val="Subject"/>
      </w:pPr>
      <w:r>
        <w:t>Asunto</w:t>
      </w:r>
      <w:r>
        <w:t>:</w:t>
      </w:r>
      <w:r>
        <w:tab/>
      </w:r>
      <w:r>
        <w:t>Libia: crímenes de lesa humanidad</w:t>
      </w:r>
    </w:p>
    <w:p>
      <w:pPr>
        <w:pStyle w:val="Body"/>
      </w:pPr>
      <w:r>
        <w:t>El 4 de octubre de 2021, la Misión Independiente de Investigación de las Naciones Unidas sobre Libia publicó un informe en el que afirma que existen motivos razonables para creer que se han cometido crímenes de guerra en Libia, entre otras cosas debido a la violencia perpetrada contra los migrantes. Las investigaciones indican que agentes estatales y no estatales han cometido violaciones generalizadas contra los migrantes, con un alto nivel de organización y estimulados por el Estado, lo que sugiere que se han cometido crímenes de lesa humanidad. Además, el informe concluye que Libia no ha tomado medidas para garantizar la seguridad de los desplazados internos y su regreso a sus lugares de origen, incumpliendo sus obligaciones en virtud del Derecho internacional.</w:t>
      </w:r>
    </w:p>
    <w:p>
      <w:pPr>
        <w:pStyle w:val="Body"/>
      </w:pPr>
      <w:r>
        <w:t>Por todo lo anterior:</w:t>
      </w:r>
    </w:p>
    <w:p>
      <w:pPr>
        <w:pStyle w:val="itemList"/>
      </w:pPr>
      <w:r>
        <w:t>1.</w:t>
      </w:r>
      <w:r>
        <w:tab/>
      </w:r>
      <w:r>
        <w:t>¿Cómo ha evaluado la Comisión dicho informe?</w:t>
      </w:r>
    </w:p>
    <w:p>
      <w:pPr>
        <w:pStyle w:val="itemList"/>
      </w:pPr>
      <w:r>
        <w:t>2.</w:t>
      </w:r>
      <w:r>
        <w:tab/>
      </w:r>
      <w:r>
        <w:t>¿Tiene previsto la Comisión revisar su financiación y colaboración con las autoridades libias en el ámbito de la migración, en particular con la guardia costera libia?</w:t>
      </w:r>
    </w:p>
    <w:p>
      <w:pPr>
        <w:pStyle w:val="itemList"/>
      </w:pPr>
      <w:r>
        <w:t>3.</w:t>
      </w:r>
      <w:r>
        <w:tab/>
      </w:r>
      <w:r>
        <w:t>¿Piensa la Comisión presentar una propuesta para una misión de rescate europea en el Mediterráneo central?</w:t>
      </w:r>
    </w:p>
    <w:p>
      <w:pPr>
        <w:pStyle w:val="Supporter"/>
      </w:pPr>
      <w:r>
        <w:rPr>
          <w:rStyle w:val="Bold"/>
        </w:rPr>
        <w:t>Apoyos</w:t>
      </w:r>
      <w:r>
        <w:rPr>
          <w:rStyle w:val="FootnoteReference"/>
        </w:rPr>
        <w:footnoteReference w:id="0"/>
      </w:r>
    </w:p>
    <w:sectPr>
      <w:footerReference w:type="even" r:id="rId5"/>
      <w:footerReference w:type="default" r:id="rId6"/>
      <w:footerReference w:type="first" r:id="rId7"/>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PE700.022v01-00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PE700.022v01-00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PE700.022v01-00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pPr>
      <w:r>
        <w:rPr>
          <w:rStyle w:val="FootnoteReference"/>
        </w:rPr>
        <w:footnoteRef/>
      </w:r>
      <w:r>
        <w:t xml:space="preserve"> </w:t>
      </w:r>
      <w:r>
        <w:tab/>
        <w:t>Esta pregunta está apoyada por otros diputados además de sus autores: Eleonora Evi (Verts/ALE), Erik Marquardt (Verts/ALE)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prioritaria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20211215-111125-107013-282237</vt:lpwstr>
  </property>
</Properties>
</file>