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prioritaria con solicitud de respuesta escrita P-001660/2021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Victor Negrescu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Dan Nica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Corina Crețu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Predrag Fred Matić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Ismail Ertug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Josianne Cutajar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Tatjana Ždanoka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Cyrus Engerer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Adrian-Dragoş Benea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Juozas Olekas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Viktor Uspaskich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Chiara Gemma</w:t>
      </w:r>
      <w:r>
        <w:t xml:space="preserve"> (</w:t>
      </w:r>
      <w:r>
        <w:t>NI</w:t>
      </w:r>
      <w:r>
        <w:t xml:space="preserve">), </w:t>
      </w:r>
      <w:r>
        <w:rPr>
          <w:rStyle w:val="Bold"/>
        </w:rPr>
        <w:t>Salima Yenbou</w:t>
      </w:r>
      <w:r>
        <w:t xml:space="preserve"> (</w:t>
      </w:r>
      <w:r>
        <w:t>Verts/ALE</w:t>
      </w:r>
      <w:r>
        <w:t xml:space="preserve">), </w:t>
      </w:r>
      <w:r>
        <w:rPr>
          <w:rStyle w:val="Bold"/>
        </w:rPr>
        <w:t>Miroslav Číž</w:t>
      </w:r>
      <w:r>
        <w:t xml:space="preserve"> (</w:t>
      </w:r>
      <w:r>
        <w:t>S&amp;D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Monika Beňová</w:t>
      </w:r>
      <w:r>
        <w:t xml:space="preserve"> (</w:t>
      </w:r>
      <w:r>
        <w:t>S&amp;D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Asignación mínima del 10 % para la educación en los planes nacionales de recuperación y resiliencia</w:t>
      </w:r>
    </w:p>
    <w:p>
      <w:pPr>
        <w:pStyle w:val="Body"/>
      </w:pPr>
      <w:r>
        <w:t>Al comienzo de la crisis de la COVID-19 cerca de 1 600 millones de estudiantes de más de 190 países, el 94 % de la población estudiantil mundial, se vieron afectados por el cierre de centros educativos y de formación. A escala de la Unión, en algunos Estados miembros hasta el 32 % de los alumnos se quedaron sin acceso a la educación durante varios meses, cuando la pandemia causó la perturbación más grave de la historia en los sistemas de educación y formación del mundo.</w:t>
      </w:r>
    </w:p>
    <w:p>
      <w:pPr>
        <w:pStyle w:val="Body"/>
      </w:pPr>
      <w:r>
        <w:t>En este contexto, los diputados al Parlamento Europeo han pedido que el 10 % de los planes de recuperación y resiliencia de los Estados miembros se asigne a la educación, con el fin de hacer frente a la pandemia actual, prepararse para los retos futuros, abordar las carencias de infraestructuras y garantizar la igualdad en el acceso a una educación y una formación de calidad para todos.</w:t>
      </w:r>
    </w:p>
    <w:p>
      <w:pPr>
        <w:pStyle w:val="Body"/>
      </w:pPr>
      <w:r>
        <w:t>Durante el proceso de evaluación de los planes nacionales presentados para el Mecanismo de Recuperación y Resiliencia, ¿apoyará la Comisión las medidas para que se asigne al menos el 10 % del Mecanismo a la educación, como lo ha solicitado y votado reiteradamente el Parlamento Europeo? ¿Qué tipo de acciones y reformas relacionadas con la educación piensa la Comisión que deberían integrarse en los planes nacionales de recuperación y resiliencia?</w:t>
      </w:r>
    </w:p>
    <w:p>
      <w:pPr>
        <w:pStyle w:val="Supporter"/>
      </w:pPr>
      <w:r>
        <w:rPr>
          <w:rStyle w:val="Bold"/>
        </w:rPr>
        <w:t>Apoyos</w:t>
      </w:r>
      <w:r>
        <w:rPr>
          <w:rStyle w:val="FootnoteReference"/>
        </w:rPr>
        <w:footnoteReference w:id="0"/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PE691.619v01-00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PE691.619v01-00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PE691.619v01-00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Esta pregunta está apoyada por otros diputados además de sus autores: Magdalena Adamowicz (PPE), Tudor Ciuhodaru (S&amp;D), Sylvie Guillaume (S&amp;D), Alexis Georgoulis (The Left), Carmen Avram (S&amp;D), Elżbieta Kruk (ECR), Petra Kammerevert (S&amp;D), Danuta Maria Hübner (PPE), Massimiliano Smeriglio (S&amp;D)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prioritaria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20210527-100034-240245-567892</vt:lpwstr>
  </property>
</Properties>
</file>