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3 -->
  <w:body>
    <w:p>
      <w:pPr>
        <w:pStyle w:val="Arial10"/>
      </w:pPr>
      <w:r w:rsidR="00A77B3E">
        <w:rPr>
          <w:rStyle w:val="Bold"/>
        </w:rPr>
        <w:t>Pregunta con solicitud de respuesta escrita E-001357/2021</w:t>
      </w:r>
    </w:p>
    <w:p>
      <w:pPr>
        <w:pStyle w:val="Arial10"/>
      </w:pPr>
      <w:r>
        <w:rPr>
          <w:rStyle w:val="Bold"/>
        </w:rPr>
        <w:t>a la Comisión</w:t>
      </w:r>
    </w:p>
    <w:p>
      <w:pPr>
        <w:pStyle w:val="Arial10"/>
      </w:pPr>
      <w:r>
        <w:t>Artículo 138 del Reglamento interno</w:t>
      </w:r>
    </w:p>
    <w:p>
      <w:pPr>
        <w:pStyle w:val="Arial10After10"/>
      </w:pPr>
      <w:r>
        <w:rPr>
          <w:rStyle w:val="Bold"/>
        </w:rPr>
        <w:t>Konstantinos Arvanitis</w:t>
      </w:r>
      <w:r>
        <w:t xml:space="preserve"> (</w:t>
      </w:r>
      <w:r>
        <w:t>The Left</w:t>
      </w:r>
      <w:r>
        <w:t xml:space="preserve">), </w:t>
      </w:r>
      <w:r>
        <w:rPr>
          <w:rStyle w:val="Bold"/>
        </w:rPr>
        <w:t>Juan Fernando López Aguilar</w:t>
      </w:r>
      <w:r>
        <w:t xml:space="preserve"> (</w:t>
      </w:r>
      <w:r>
        <w:t>S&amp;D</w:t>
      </w:r>
      <w:r>
        <w:t xml:space="preserve">), </w:t>
      </w:r>
      <w:r>
        <w:rPr>
          <w:rStyle w:val="Bold"/>
        </w:rPr>
        <w:t>Dimitrios Papadimoulis</w:t>
      </w:r>
      <w:r>
        <w:t xml:space="preserve"> (</w:t>
      </w:r>
      <w:r>
        <w:t>The Left</w:t>
      </w:r>
      <w:r>
        <w:t xml:space="preserve">), </w:t>
      </w:r>
      <w:r>
        <w:rPr>
          <w:rStyle w:val="Bold"/>
        </w:rPr>
        <w:t>Petros Kokkalis</w:t>
      </w:r>
      <w:r>
        <w:t xml:space="preserve"> (</w:t>
      </w:r>
      <w:r>
        <w:t>The Left</w:t>
      </w:r>
      <w:r>
        <w:t xml:space="preserve">), </w:t>
      </w:r>
      <w:r>
        <w:rPr>
          <w:rStyle w:val="Bold"/>
        </w:rPr>
        <w:t>Elena Kountoura</w:t>
      </w:r>
      <w:r>
        <w:t xml:space="preserve"> (</w:t>
      </w:r>
      <w:r>
        <w:t>The Left</w:t>
      </w:r>
      <w:r>
        <w:t xml:space="preserve">), </w:t>
      </w:r>
      <w:r>
        <w:rPr>
          <w:rStyle w:val="Bold"/>
        </w:rPr>
        <w:t>Stelios Kouloglou</w:t>
      </w:r>
      <w:r>
        <w:t xml:space="preserve"> (</w:t>
      </w:r>
      <w:r>
        <w:t>The Left</w:t>
      </w:r>
      <w:r>
        <w:t xml:space="preserve">), </w:t>
      </w:r>
      <w:r>
        <w:rPr>
          <w:rStyle w:val="Bold"/>
        </w:rPr>
        <w:t>Pernando Barrena Arza</w:t>
      </w:r>
      <w:r>
        <w:t xml:space="preserve"> (</w:t>
      </w:r>
      <w:r>
        <w:t>The Left</w:t>
      </w:r>
      <w:r>
        <w:t xml:space="preserve">), </w:t>
      </w:r>
      <w:r>
        <w:rPr>
          <w:rStyle w:val="Bold"/>
        </w:rPr>
        <w:t>Izaskun Bilbao Barandica</w:t>
      </w:r>
      <w:r>
        <w:t xml:space="preserve"> (</w:t>
      </w:r>
      <w:r>
        <w:t>Renew</w:t>
      </w:r>
      <w:r>
        <w:t xml:space="preserve">), </w:t>
      </w:r>
      <w:r>
        <w:rPr>
          <w:rStyle w:val="Bold"/>
        </w:rPr>
        <w:t>Damien Carême</w:t>
      </w:r>
      <w:r>
        <w:t xml:space="preserve"> (</w:t>
      </w:r>
      <w:r>
        <w:t>Verts/ALE</w:t>
      </w:r>
      <w:r>
        <w:t xml:space="preserve">), </w:t>
      </w:r>
      <w:r>
        <w:rPr>
          <w:rStyle w:val="Bold"/>
        </w:rPr>
        <w:t>Clare Daly</w:t>
      </w:r>
      <w:r>
        <w:t xml:space="preserve"> (</w:t>
      </w:r>
      <w:r>
        <w:t>The Left</w:t>
      </w:r>
      <w:r>
        <w:t xml:space="preserve">), </w:t>
      </w:r>
      <w:r>
        <w:rPr>
          <w:rStyle w:val="Bold"/>
        </w:rPr>
        <w:t>Cornelia Ernst</w:t>
      </w:r>
      <w:r>
        <w:t xml:space="preserve"> (</w:t>
      </w:r>
      <w:r>
        <w:t>The Left</w:t>
      </w:r>
      <w:r>
        <w:t xml:space="preserve">), </w:t>
      </w:r>
      <w:r>
        <w:rPr>
          <w:rStyle w:val="Bold"/>
        </w:rPr>
        <w:t>Giorgos Georgiou</w:t>
      </w:r>
      <w:r>
        <w:t xml:space="preserve"> (</w:t>
      </w:r>
      <w:r>
        <w:t>The Left</w:t>
      </w:r>
      <w:r>
        <w:t xml:space="preserve">), </w:t>
      </w:r>
      <w:r>
        <w:rPr>
          <w:rStyle w:val="Bold"/>
        </w:rPr>
        <w:t>José Gusmão</w:t>
      </w:r>
      <w:r>
        <w:t xml:space="preserve"> (</w:t>
      </w:r>
      <w:r>
        <w:t>The Left</w:t>
      </w:r>
      <w:r>
        <w:t xml:space="preserve">), </w:t>
      </w:r>
      <w:r>
        <w:rPr>
          <w:rStyle w:val="Bold"/>
        </w:rPr>
        <w:t>Petra Kammerevert</w:t>
      </w:r>
      <w:r>
        <w:t xml:space="preserve"> (</w:t>
      </w:r>
      <w:r>
        <w:t>S&amp;D</w:t>
      </w:r>
      <w:r>
        <w:t xml:space="preserve">), </w:t>
      </w:r>
      <w:r>
        <w:rPr>
          <w:rStyle w:val="Bold"/>
        </w:rPr>
        <w:t>Niyazi Kizilyürek</w:t>
      </w:r>
      <w:r>
        <w:t xml:space="preserve"> (</w:t>
      </w:r>
      <w:r>
        <w:t>The Left</w:t>
      </w:r>
      <w:r>
        <w:t xml:space="preserve">), </w:t>
      </w:r>
      <w:r>
        <w:rPr>
          <w:rStyle w:val="Bold"/>
        </w:rPr>
        <w:t>Dietmar Köster</w:t>
      </w:r>
      <w:r>
        <w:t xml:space="preserve"> (</w:t>
      </w:r>
      <w:r>
        <w:t>S&amp;D</w:t>
      </w:r>
      <w:r>
        <w:t xml:space="preserve">), </w:t>
      </w:r>
      <w:r>
        <w:rPr>
          <w:rStyle w:val="Bold"/>
        </w:rPr>
        <w:t>Erik Marquardt</w:t>
      </w:r>
      <w:r>
        <w:t xml:space="preserve"> (</w:t>
      </w:r>
      <w:r>
        <w:t>Verts/ALE</w:t>
      </w:r>
      <w:r>
        <w:t xml:space="preserve">), </w:t>
      </w:r>
      <w:r>
        <w:rPr>
          <w:rStyle w:val="Bold"/>
        </w:rPr>
        <w:t>Marisa Matias</w:t>
      </w:r>
      <w:r>
        <w:t xml:space="preserve"> (</w:t>
      </w:r>
      <w:r>
        <w:t>The Left</w:t>
      </w:r>
      <w:r>
        <w:t xml:space="preserve">), </w:t>
      </w:r>
      <w:r>
        <w:rPr>
          <w:rStyle w:val="Bold"/>
        </w:rPr>
        <w:t>Karen Melchior</w:t>
      </w:r>
      <w:r>
        <w:t xml:space="preserve"> (</w:t>
      </w:r>
      <w:r>
        <w:t>Renew</w:t>
      </w:r>
      <w:r>
        <w:t xml:space="preserve">), </w:t>
      </w:r>
      <w:r>
        <w:rPr>
          <w:rStyle w:val="Bold"/>
        </w:rPr>
        <w:t>Alessandra Moretti</w:t>
      </w:r>
      <w:r>
        <w:t xml:space="preserve"> (</w:t>
      </w:r>
      <w:r>
        <w:t>S&amp;D</w:t>
      </w:r>
      <w:r>
        <w:t xml:space="preserve">), </w:t>
      </w:r>
      <w:r>
        <w:rPr>
          <w:rStyle w:val="Bold"/>
        </w:rPr>
        <w:t>Anne-Sophie Pelletier</w:t>
      </w:r>
      <w:r>
        <w:t xml:space="preserve"> (</w:t>
      </w:r>
      <w:r>
        <w:t>The Left</w:t>
      </w:r>
      <w:r>
        <w:t xml:space="preserve">), </w:t>
      </w:r>
      <w:r>
        <w:rPr>
          <w:rStyle w:val="Bold"/>
        </w:rPr>
        <w:t>Manuel Pizarro</w:t>
      </w:r>
      <w:r>
        <w:t xml:space="preserve"> (</w:t>
      </w:r>
      <w:r>
        <w:t>S&amp;D</w:t>
      </w:r>
      <w:r>
        <w:t xml:space="preserve">), </w:t>
      </w:r>
      <w:r>
        <w:rPr>
          <w:rStyle w:val="Bold"/>
        </w:rPr>
        <w:t>Eugenia Rodríguez Palop</w:t>
      </w:r>
      <w:r>
        <w:t xml:space="preserve"> (</w:t>
      </w:r>
      <w:r>
        <w:t>The Left</w:t>
      </w:r>
      <w:r>
        <w:t xml:space="preserve">), </w:t>
      </w:r>
      <w:r>
        <w:rPr>
          <w:rStyle w:val="Bold"/>
        </w:rPr>
        <w:t>Tineke Strik</w:t>
      </w:r>
      <w:r>
        <w:t xml:space="preserve"> (</w:t>
      </w:r>
      <w:r>
        <w:t>Verts/ALE</w:t>
      </w:r>
      <w:r>
        <w:t xml:space="preserve">), </w:t>
      </w:r>
      <w:r>
        <w:rPr>
          <w:rStyle w:val="Bold"/>
        </w:rPr>
        <w:t>Miguel Urbán Crespo</w:t>
      </w:r>
      <w:r>
        <w:t xml:space="preserve"> (</w:t>
      </w:r>
      <w:r>
        <w:t>The Left</w:t>
      </w:r>
      <w:r>
        <w:t xml:space="preserve">), </w:t>
      </w:r>
      <w:r>
        <w:rPr>
          <w:rStyle w:val="Bold"/>
        </w:rPr>
        <w:t>Idoia Villanueva Ruiz</w:t>
      </w:r>
      <w:r>
        <w:t xml:space="preserve"> (</w:t>
      </w:r>
      <w:r>
        <w:t>The Left</w:t>
      </w:r>
      <w:r>
        <w:t xml:space="preserve">), </w:t>
      </w:r>
      <w:r>
        <w:rPr>
          <w:rStyle w:val="Bold"/>
        </w:rPr>
        <w:t>Nikolaj Villumsen</w:t>
      </w:r>
      <w:r>
        <w:t xml:space="preserve"> (</w:t>
      </w:r>
      <w:r>
        <w:t>The Left</w:t>
      </w:r>
      <w:r>
        <w:t xml:space="preserve">), </w:t>
      </w:r>
      <w:r>
        <w:rPr>
          <w:rStyle w:val="Bold"/>
        </w:rPr>
        <w:t>Mick Wallace</w:t>
      </w:r>
      <w:r>
        <w:t xml:space="preserve"> (</w:t>
      </w:r>
      <w:r>
        <w:t>The Left</w:t>
      </w:r>
      <w:r>
        <w:t xml:space="preserve">), </w:t>
      </w:r>
      <w:r>
        <w:rPr>
          <w:rStyle w:val="Bold"/>
        </w:rPr>
        <w:t>Milan Brglez</w:t>
      </w:r>
      <w:r>
        <w:t xml:space="preserve"> (</w:t>
      </w:r>
      <w:r>
        <w:t>S&amp;D</w:t>
      </w:r>
      <w:r>
        <w:t>)</w:t>
      </w:r>
    </w:p>
    <w:p>
      <w:pPr>
        <w:pStyle w:val="Subject"/>
      </w:pPr>
      <w:r>
        <w:t>Asunto</w:t>
      </w:r>
      <w:r>
        <w:t>:</w:t>
      </w:r>
      <w:r>
        <w:tab/>
      </w:r>
      <w:r>
        <w:t>Acceso de los menores refugiados a la educación</w:t>
      </w:r>
    </w:p>
    <w:p>
      <w:pPr>
        <w:pStyle w:val="Body"/>
      </w:pPr>
      <w:r>
        <w:t>El Gobierno griego está excluyendo en la práctica de la educación formal a los menores refugiados y migrantes, especialmente a los que viven en centros de acogida e identificación (puntos críticos y campamentos). La información facilitada por personas y organizaciones que trabajan sobre el terreno indica que numerosos obstáculos están socavando completamente el acceso de estos menores al sistema nacional de educación, ya sea de forma presencial (el modo tradicional) o por educación a distancia (durante la pandemia). Hace dos años el número de esos menores escolarizados era de unos 16 000. El año pasado su número cayó hasta aproximadamente 7 000 y ahora se estima que esté cerca de cero. Esto constituye una violación de su derecho fundamental a la educación y constituye un acto claro de discriminación contra los migrantes y refugiados.</w:t>
      </w:r>
    </w:p>
    <w:p>
      <w:pPr>
        <w:pStyle w:val="itemList"/>
      </w:pPr>
      <w:r>
        <w:t>1.</w:t>
      </w:r>
      <w:r>
        <w:tab/>
      </w:r>
      <w:r>
        <w:t>¿Puede la Comisión confirmar el número real de menores refugiados y migrantes que no tienen acceso al sistema nacional de educación en Grecia?</w:t>
      </w:r>
    </w:p>
    <w:p>
      <w:pPr>
        <w:pStyle w:val="itemList"/>
      </w:pPr>
      <w:r>
        <w:t>2.</w:t>
      </w:r>
      <w:r>
        <w:tab/>
      </w:r>
      <w:r>
        <w:t>¿Es esta práctica compatible con el artículo 2 del Tratado de Funcionamiento de la Unión Europea, el artículo 14 de la Carta de los Derechos Fundamentales de la Unión Europea, el artículo 28 de la Convención de la Naciones Unidas sobre los Derechos del Niño, el artículo 2 del Protocolo n.º 1 del Convenio Europeo de Derechos Humanos, el artículo 27 de la Directiva 2011/95/UE y el artículo 14 de la Directiva 2013/33/UE?</w:t>
      </w:r>
    </w:p>
    <w:p>
      <w:pPr>
        <w:pStyle w:val="itemList"/>
      </w:pPr>
      <w:r>
        <w:t>3.</w:t>
      </w:r>
      <w:r>
        <w:tab/>
      </w:r>
      <w:r>
        <w:t>¿Cómo piensa intervenir la Comisión para garantizar que todos los menores disfruten en la práctica de todos los derechos fundamentales en cuestión?</w:t>
      </w:r>
    </w:p>
    <w:p>
      <w:pPr>
        <w:pStyle w:val="Supporter"/>
      </w:pPr>
      <w:r>
        <w:rPr>
          <w:rStyle w:val="Bold"/>
        </w:rPr>
        <w:t>Apoyo</w:t>
      </w:r>
      <w:r>
        <w:rPr>
          <w:rStyle w:val="FootnoteReference"/>
        </w:rPr>
        <w:footnoteReference w:id="0"/>
      </w:r>
    </w:p>
    <w:sectPr>
      <w:footerReference w:type="even" r:id="rId5"/>
      <w:footerReference w:type="default" r:id="rId6"/>
      <w:footerReference w:type="first" r:id="rId7"/>
      <w:pgSz w:w="11906" w:h="16838"/>
      <w:pgMar w:top="1440" w:right="1440" w:bottom="2000" w:left="1440" w:header="568" w:footer="568" w:gutter="0"/>
      <w:cols w:num="1"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PE690.819v01-00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PE690.819v01-00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PE690.819v01-00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0">
    <w:p>
      <w:pPr>
        <w:pStyle w:val="FootnoteText"/>
      </w:pPr>
      <w:r>
        <w:rPr>
          <w:rStyle w:val="FootnoteReference"/>
        </w:rPr>
        <w:footnoteRef/>
      </w:r>
      <w:r>
        <w:t xml:space="preserve"> </w:t>
      </w:r>
      <w:r>
        <w:tab/>
        <w:t>Esta pregunta está apoyada por otro diputado además de sus autores: Alexis Georgoulis (The Left)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425"/>
        <w:tab w:val="left" w:pos="851"/>
        <w:tab w:val="left" w:pos="1276"/>
      </w:tabs>
      <w:spacing w:after="240"/>
    </w:pPr>
    <w:rPr>
      <w:rFonts w:ascii="Arial" w:hAnsi="Arial"/>
    </w:rPr>
  </w:style>
  <w:style w:type="paragraph" w:styleId="Heading1">
    <w:name w:val="heading 1"/>
    <w:basedOn w:val="Normal"/>
    <w:next w:val="Normal"/>
    <w:link w:val="Heading1Char"/>
    <w:qFormat/>
    <w:rsid w:val="004B3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rsid w:val="00782D12"/>
    <w:rPr>
      <w:rFonts w:ascii="Arial" w:hAnsi="Arial" w:cs="Arial"/>
      <w:b w:val="0"/>
      <w:i w:val="0"/>
      <w:caps w:val="0"/>
      <w:smallCaps w:val="0"/>
      <w:strike w:val="0"/>
      <w:dstrike w:val="0"/>
      <w:vanish w:val="0"/>
      <w:color w:val="auto"/>
      <w:spacing w:val="0"/>
      <w:w w:val="100"/>
      <w:kern w:val="0"/>
      <w:position w:val="0"/>
      <w:sz w:val="18"/>
      <w:u w:val="none"/>
      <w:effect w:val="none"/>
      <w:vertAlign w:val="superscript"/>
    </w:rPr>
  </w:style>
  <w:style w:type="paragraph" w:styleId="Header">
    <w:name w:val="header"/>
    <w:basedOn w:val="Normal"/>
    <w:pPr>
      <w:tabs>
        <w:tab w:val="center" w:pos="4153"/>
        <w:tab w:val="right" w:pos="8306"/>
      </w:tabs>
    </w:pPr>
  </w:style>
  <w:style w:type="paragraph" w:styleId="Footer">
    <w:name w:val="footer"/>
    <w:basedOn w:val="Normal"/>
    <w:rsid w:val="00F816F6"/>
    <w:pPr>
      <w:tabs>
        <w:tab w:val="clear" w:pos="425"/>
        <w:tab w:val="clear" w:pos="851"/>
        <w:tab w:val="clear" w:pos="1276"/>
        <w:tab w:val="center" w:pos="4536"/>
        <w:tab w:val="right" w:pos="9072"/>
      </w:tabs>
      <w:spacing w:before="240"/>
    </w:pPr>
    <w:rPr>
      <w:snapToGrid w:val="0"/>
      <w:sz w:val="22"/>
    </w:rPr>
  </w:style>
  <w:style w:type="character" w:styleId="PageNumber">
    <w:name w:val="page number"/>
    <w:basedOn w:val="DefaultParagraphFont"/>
  </w:style>
  <w:style w:type="paragraph" w:styleId="FootnoteText">
    <w:name w:val="footnote text"/>
    <w:semiHidden/>
    <w:rsid w:val="003D124A"/>
    <w:pPr>
      <w:tabs>
        <w:tab w:val="left" w:pos="284"/>
      </w:tabs>
      <w:ind w:left="284" w:hanging="284"/>
    </w:pPr>
    <w:rPr>
      <w:rFonts w:ascii="Arial" w:hAnsi="Arial"/>
      <w:sz w:val="18"/>
    </w:rPr>
  </w:style>
  <w:style w:type="paragraph" w:styleId="BalloonText">
    <w:name w:val="Balloon Text"/>
    <w:basedOn w:val="Normal"/>
    <w:semiHidden/>
    <w:rsid w:val="00CD005F"/>
    <w:rPr>
      <w:rFonts w:ascii="Tahoma" w:hAnsi="Tahoma" w:cs="Tahoma"/>
      <w:sz w:val="16"/>
      <w:szCs w:val="16"/>
    </w:rPr>
  </w:style>
  <w:style w:type="character" w:customStyle="1" w:styleId="Bold">
    <w:name w:val="Bold"/>
    <w:basedOn w:val="DefaultParagraphFont"/>
    <w:uiPriority w:val="1"/>
    <w:qFormat/>
    <w:rsid w:val="00344A81"/>
    <w:rPr>
      <w:rFonts w:ascii="Arial" w:hAnsi="Arial"/>
      <w:b/>
      <w:sz w:val="20"/>
    </w:rPr>
  </w:style>
  <w:style w:type="character" w:customStyle="1" w:styleId="Heading1Char">
    <w:name w:val="Heading 1 Char"/>
    <w:basedOn w:val="DefaultParagraphFont"/>
    <w:link w:val="Heading1"/>
    <w:rsid w:val="004B3311"/>
    <w:rPr>
      <w:rFonts w:asciiTheme="majorHAnsi" w:eastAsiaTheme="majorEastAsia" w:hAnsiTheme="majorHAnsi" w:cstheme="majorBidi"/>
      <w:b/>
      <w:bCs/>
      <w:snapToGrid w:val="0"/>
      <w:color w:val="365F91" w:themeColor="accent1" w:themeShade="BF"/>
      <w:sz w:val="28"/>
      <w:szCs w:val="28"/>
      <w:lang w:eastAsia="en-US"/>
    </w:rPr>
  </w:style>
  <w:style w:type="paragraph" w:customStyle="1" w:styleId="Arial10">
    <w:name w:val="Arial10"/>
    <w:qFormat/>
    <w:rsid w:val="003A12E2"/>
    <w:rPr>
      <w:rFonts w:ascii="Arial" w:hAnsi="Arial"/>
    </w:rPr>
  </w:style>
  <w:style w:type="character" w:styleId="Hyperlink">
    <w:name w:val="Hyperlink"/>
    <w:basedOn w:val="DefaultParagraphFont"/>
    <w:uiPriority w:val="99"/>
    <w:unhideWhenUsed/>
    <w:rsid w:val="008E6344"/>
    <w:rPr>
      <w:color w:val="0000FF"/>
      <w:u w:val="single"/>
    </w:rPr>
  </w:style>
  <w:style w:type="paragraph" w:customStyle="1" w:styleId="Arial10After10">
    <w:name w:val="Arial10After10"/>
    <w:basedOn w:val="Arial10"/>
    <w:qFormat/>
    <w:rsid w:val="008E6344"/>
    <w:pPr>
      <w:spacing w:after="200"/>
    </w:pPr>
  </w:style>
  <w:style w:type="paragraph" w:customStyle="1" w:styleId="Subject">
    <w:name w:val="Subject"/>
    <w:basedOn w:val="Arial10"/>
    <w:qFormat/>
    <w:rsid w:val="00E275FC"/>
    <w:pPr>
      <w:tabs>
        <w:tab w:val="left" w:pos="1134"/>
      </w:tabs>
      <w:spacing w:after="240"/>
      <w:ind w:left="1134" w:hanging="1134"/>
    </w:pPr>
  </w:style>
  <w:style w:type="paragraph" w:customStyle="1" w:styleId="Body">
    <w:name w:val="Body"/>
    <w:qFormat/>
    <w:rsid w:val="006822FA"/>
    <w:pPr>
      <w:tabs>
        <w:tab w:val="left" w:pos="425"/>
        <w:tab w:val="left" w:pos="851"/>
        <w:tab w:val="left" w:pos="1276"/>
      </w:tabs>
      <w:spacing w:after="240"/>
    </w:pPr>
    <w:rPr>
      <w:rFonts w:ascii="Arial" w:hAnsi="Arial"/>
    </w:rPr>
  </w:style>
  <w:style w:type="paragraph" w:customStyle="1" w:styleId="LeftHanging">
    <w:name w:val="LeftHanging"/>
    <w:qFormat/>
    <w:rsid w:val="00BD0F1F"/>
    <w:pPr>
      <w:spacing w:before="240"/>
      <w:ind w:left="425" w:hanging="425"/>
    </w:pPr>
    <w:rPr>
      <w:rFonts w:ascii="Arial" w:hAnsi="Arial"/>
    </w:rPr>
  </w:style>
  <w:style w:type="paragraph" w:customStyle="1" w:styleId="LeftHangingAfter">
    <w:name w:val="LeftHangingAfter"/>
    <w:basedOn w:val="LeftHanging"/>
    <w:qFormat/>
    <w:rsid w:val="00AB7C55"/>
    <w:pPr>
      <w:spacing w:before="0"/>
    </w:pPr>
  </w:style>
  <w:style w:type="paragraph" w:customStyle="1" w:styleId="itemList">
    <w:name w:val="itemList"/>
    <w:qFormat/>
    <w:rsid w:val="005024D7"/>
    <w:pPr>
      <w:tabs>
        <w:tab w:val="left" w:pos="425"/>
        <w:tab w:val="left" w:pos="851"/>
        <w:tab w:val="left" w:pos="1276"/>
      </w:tabs>
      <w:spacing w:after="240"/>
      <w:ind w:left="425" w:hanging="425"/>
    </w:pPr>
    <w:rPr>
      <w:rFonts w:ascii="Arial" w:hAnsi="Arial"/>
    </w:rPr>
  </w:style>
  <w:style w:type="paragraph" w:customStyle="1" w:styleId="Supporter">
    <w:name w:val="Supporter"/>
    <w:basedOn w:val="Body"/>
    <w:qFormat/>
    <w:rsid w:val="00CD50AF"/>
    <w:pPr>
      <w:spacing w:before="840"/>
    </w:pPr>
  </w:style>
  <w:style w:type="paragraph" w:customStyle="1" w:styleId="Footer2">
    <w:name w:val="Footer2"/>
    <w:basedOn w:val="Normal"/>
    <w:link w:val="Footer2Char"/>
    <w:qFormat/>
    <w:rsid w:val="000B4A67"/>
    <w:pPr>
      <w:tabs>
        <w:tab w:val="clear" w:pos="425"/>
        <w:tab w:val="clear" w:pos="851"/>
        <w:tab w:val="clear" w:pos="1276"/>
        <w:tab w:val="center" w:pos="4536"/>
        <w:tab w:val="right" w:pos="9923"/>
      </w:tabs>
      <w:ind w:left="-851" w:right="-851"/>
    </w:pPr>
    <w:rPr>
      <w:sz w:val="48"/>
    </w:rPr>
  </w:style>
  <w:style w:type="character" w:customStyle="1" w:styleId="Footer2Lang">
    <w:name w:val="Footer2Lang"/>
    <w:uiPriority w:val="1"/>
    <w:qFormat/>
    <w:rsid w:val="000B4A67"/>
    <w:rPr>
      <w:rFonts w:ascii="Arial" w:hAnsi="Arial"/>
      <w:b/>
      <w:sz w:val="48"/>
    </w:rPr>
  </w:style>
  <w:style w:type="character" w:customStyle="1" w:styleId="Footer2Char">
    <w:name w:val="Footer2 Char"/>
    <w:basedOn w:val="DefaultParagraphFont"/>
    <w:link w:val="Footer2"/>
    <w:rsid w:val="000B4A67"/>
    <w:rPr>
      <w:rFonts w:ascii="Arial" w:hAnsi="Arial"/>
      <w:sz w:val="48"/>
    </w:rPr>
  </w:style>
  <w:style w:type="character" w:customStyle="1" w:styleId="Footer2Middle">
    <w:name w:val="Footer2Middle"/>
    <w:uiPriority w:val="1"/>
    <w:qFormat/>
    <w:rsid w:val="000B4A67"/>
    <w:rPr>
      <w:rFonts w:ascii="Arial" w:hAnsi="Arial"/>
      <w:i/>
      <w:color w:val="BFBFBF" w:themeColor="background1" w:themeShade="BF"/>
      <w:sz w:val="22"/>
    </w:rPr>
  </w:style>
  <w:style w:type="paragraph" w:customStyle="1" w:styleId="SessionDocument">
    <w:name w:val="SessionDocument"/>
    <w:qFormat/>
    <w:rsid w:val="00F63011"/>
    <w:pPr>
      <w:jc w:val="center"/>
    </w:pPr>
    <w:rPr>
      <w:rFonts w:ascii="Arial" w:hAnsi="Arial"/>
      <w:i/>
      <w:sz w:val="22"/>
    </w:rPr>
  </w:style>
  <w:style w:type="paragraph" w:customStyle="1" w:styleId="LineBottom">
    <w:name w:val="LineBottom"/>
    <w:qFormat/>
    <w:rsid w:val="00C01FA6"/>
    <w:pPr>
      <w:pBdr>
        <w:bottom w:val="single" w:sz="4" w:space="1" w:color="auto"/>
      </w:pBdr>
      <w:spacing w:after="1080"/>
      <w:jc w:val="center"/>
    </w:pPr>
    <w:rPr>
      <w:rFonts w:ascii="Arial" w:hAnsi="Arial"/>
      <w:sz w:val="16"/>
    </w:rPr>
  </w:style>
  <w:style w:type="paragraph" w:customStyle="1" w:styleId="LineTop">
    <w:name w:val="LineTop"/>
    <w:next w:val="SessionDocument"/>
    <w:qFormat/>
    <w:rsid w:val="00884286"/>
    <w:pPr>
      <w:pBdr>
        <w:top w:val="single" w:sz="4" w:space="1" w:color="auto"/>
      </w:pBdr>
    </w:pPr>
    <w:rPr>
      <w:rFonts w:ascii="Arial" w:hAnsi="Arial"/>
      <w:sz w:val="16"/>
    </w:rPr>
  </w:style>
  <w:style w:type="paragraph" w:customStyle="1" w:styleId="EPLogo">
    <w:name w:val="EPLogo"/>
    <w:basedOn w:val="Normal"/>
    <w:qFormat/>
    <w:rsid w:val="00A05278"/>
    <w:pPr>
      <w:jc w:val="right"/>
    </w:pPr>
  </w:style>
  <w:style w:type="paragraph" w:customStyle="1" w:styleId="EPName">
    <w:name w:val="EPName"/>
    <w:basedOn w:val="Normal"/>
    <w:qFormat/>
    <w:rsid w:val="00475435"/>
    <w:pPr>
      <w:spacing w:before="80" w:after="80"/>
    </w:pPr>
    <w:rPr>
      <w:rFonts w:ascii="Arial Narrow" w:hAnsi="Arial Narrow"/>
      <w:b/>
      <w:color w:val="000000" w:themeColor="text1"/>
      <w:sz w:val="32"/>
    </w:rPr>
  </w:style>
  <w:style w:type="paragraph" w:customStyle="1" w:styleId="EPTerm">
    <w:name w:val="EPTerm"/>
    <w:basedOn w:val="Normal"/>
    <w:next w:val="Normal"/>
    <w:qFormat/>
    <w:rsid w:val="00475435"/>
    <w:pPr>
      <w:spacing w:after="80"/>
    </w:pPr>
  </w:style>
  <w:style w:type="paragraph" w:customStyle="1" w:styleId="Arial10Date">
    <w:name w:val="Arial10Date"/>
    <w:basedOn w:val="Arial10"/>
    <w:qFormat/>
    <w:rsid w:val="00E258AE"/>
    <w:pPr>
      <w:tabs>
        <w:tab w:val="left" w:pos="0"/>
        <w:tab w:val="right" w:pos="9072"/>
      </w:tabs>
      <w:spacing w:after="400"/>
    </w:pPr>
  </w:style>
  <w:style w:type="character" w:customStyle="1" w:styleId="HideTWBExt">
    <w:name w:val="HideTWBExt"/>
    <w:uiPriority w:val="1"/>
    <w:qFormat/>
    <w:rsid w:val="00DC6131"/>
    <w:rPr>
      <w:rFonts w:ascii="Arial" w:hAnsi="Arial"/>
      <w:vanish/>
      <w:color w:val="1F497D" w:themeColor="text2"/>
      <w:sz w:val="20"/>
    </w:rPr>
  </w:style>
  <w:style w:type="character" w:customStyle="1" w:styleId="Italic">
    <w:name w:val="Italic"/>
    <w:uiPriority w:val="1"/>
    <w:qFormat/>
    <w:rsid w:val="00644428"/>
    <w:rPr>
      <w:i/>
    </w:rPr>
  </w:style>
  <w:style w:type="character" w:customStyle="1" w:styleId="Sub">
    <w:name w:val="Sub"/>
    <w:uiPriority w:val="1"/>
    <w:qFormat/>
    <w:rsid w:val="00776240"/>
    <w:rPr>
      <w:vertAlign w:val="subscript"/>
    </w:rPr>
  </w:style>
  <w:style w:type="character" w:customStyle="1" w:styleId="Sup">
    <w:name w:val="Sup"/>
    <w:uiPriority w:val="1"/>
    <w:qFormat/>
    <w:rsid w:val="00776240"/>
    <w:rPr>
      <w:vertAlign w:val="superscript"/>
    </w:rPr>
  </w:style>
  <w:style w:type="character" w:customStyle="1" w:styleId="ItalicSub">
    <w:name w:val="ItalicSub"/>
    <w:uiPriority w:val="1"/>
    <w:qFormat/>
    <w:rsid w:val="00776240"/>
    <w:rPr>
      <w:i/>
      <w:vertAlign w:val="subscript"/>
    </w:rPr>
  </w:style>
  <w:style w:type="character" w:customStyle="1" w:styleId="ItalicSup">
    <w:name w:val="ItalicSup"/>
    <w:uiPriority w:val="1"/>
    <w:qFormat/>
    <w:rsid w:val="00776240"/>
    <w:rPr>
      <w:i/>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Pregunta con solicitud de respuesta escrita</dc:title>
  <dc:creator>e-Parliament@europarl.europa.eu</dc:creator>
  <cp:lastModifiedBy>e-Parliament@europarl.europa.eu</cp:lastModifiedBy>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XMLUID">
    <vt:lpwstr>20210628-105027-474113-544760</vt:lpwstr>
  </property>
</Properties>
</file>