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E-001945/2023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Erik Marquardt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Laura Ferrara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Francisco Guerreiro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Stelios Kouloglou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Pierre Larrouturou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Karen Melchior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Monika Vana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Rasmus Andresen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Ignazio Corrao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Saskia Bricmont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Matjaž Nemec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Isabel Santos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Mick Wallace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Rosa D'Amato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Michael Bloss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Dietmar Köster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Tineke Strik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Domènec Ruiz Devesa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Gwendoline Delbos-Corfield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Damien Carême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Katrin Langensiepen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Tiziana Beghin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Matthias Ecke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Brando Benifei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Maria Arena</w:t>
      </w:r>
      <w:r>
        <w:t xml:space="preserve"> (</w:t>
      </w:r>
      <w:r>
        <w:t>S&amp;D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¿Está la Comisión dispuesta a actuar tras el encubrimiento en el caso del Crotone?</w:t>
      </w:r>
    </w:p>
    <w:p>
      <w:pPr>
        <w:pStyle w:val="Body"/>
      </w:pPr>
      <w:r>
        <w:t xml:space="preserve">Una investigación conjunta de Lighthouse Reports, </w:t>
      </w:r>
      <w:r>
        <w:rPr>
          <w:rStyle w:val="Italic"/>
        </w:rPr>
        <w:t>El País</w:t>
      </w:r>
      <w:r>
        <w:t xml:space="preserve">, Sky News, </w:t>
      </w:r>
      <w:r>
        <w:rPr>
          <w:rStyle w:val="Italic"/>
        </w:rPr>
        <w:t>Le Monde</w:t>
      </w:r>
      <w:r>
        <w:t xml:space="preserve">, </w:t>
      </w:r>
      <w:r>
        <w:rPr>
          <w:rStyle w:val="Italic"/>
        </w:rPr>
        <w:t>Süddeutsche Zeitung</w:t>
      </w:r>
      <w:r>
        <w:t xml:space="preserve"> y </w:t>
      </w:r>
      <w:r>
        <w:rPr>
          <w:rStyle w:val="Italic"/>
        </w:rPr>
        <w:t>Domani</w:t>
      </w:r>
      <w:r>
        <w:rPr>
          <w:rStyle w:val="FootnoteReference"/>
        </w:rPr>
        <w:footnoteReference w:id="0"/>
      </w:r>
      <w:r>
        <w:t xml:space="preserve"> revela que el Gobierno italiano mintió sobre su papel en el naufragio del Crotone —en el que murieron 94 personas, entre ellas 35 menores— y que Frontex ayudó a encubrirlo. En su respuesta a nuestra última pregunta con solicitud de respuesta escrita sobre el Crotone, la Comisión afirmó que «la búsqueda y salvamento son una obligación legal de los Estados miembros en virtud del Derecho internacional»</w:t>
      </w:r>
      <w:r>
        <w:rPr>
          <w:rStyle w:val="FootnoteReference"/>
        </w:rPr>
        <w:footnoteReference w:id="1"/>
      </w:r>
      <w:r>
        <w:t>. La Comisión también ha señalado que no considera necesario un mecanismo de búsqueda y salvamento coordinado a escala de la Unión.</w:t>
      </w:r>
    </w:p>
    <w:p>
      <w:pPr>
        <w:pStyle w:val="itemList"/>
      </w:pPr>
      <w:r>
        <w:t>1)</w:t>
      </w:r>
      <w:r>
        <w:tab/>
      </w:r>
      <w:r>
        <w:t>Tras esta cadena de faltas desastrosas, ¿cómo actuará la Comisión y qué consecuencias habrá para Italia y para Frontex?</w:t>
      </w:r>
    </w:p>
    <w:p>
      <w:pPr>
        <w:pStyle w:val="itemList"/>
      </w:pPr>
      <w:r>
        <w:t>2)</w:t>
      </w:r>
      <w:r>
        <w:tab/>
      </w:r>
      <w:r>
        <w:t>¿Qué ha hecho la Comisión en el Consejo de Administración de Frontex para aclarar estas faltas de Frontex?</w:t>
      </w:r>
    </w:p>
    <w:p>
      <w:pPr>
        <w:pStyle w:val="itemList"/>
      </w:pPr>
      <w:r>
        <w:t>3)</w:t>
      </w:r>
      <w:r>
        <w:tab/>
      </w:r>
      <w:r>
        <w:t>¿Qué valoración hace Frontex de los hechos revelados, especialmente considerando que no coinciden con lo declarado por su director ejecutivo Hans Leijtens ante la Comisión de Libertades Civiles, Justicia y Asuntos de Interior el 23 de mayo de 2023</w:t>
      </w:r>
      <w:r>
        <w:rPr>
          <w:rStyle w:val="FootnoteReference"/>
        </w:rPr>
        <w:footnoteReference w:id="2"/>
      </w:r>
      <w:r>
        <w:t>?</w:t>
      </w:r>
    </w:p>
    <w:p>
      <w:pPr>
        <w:pStyle w:val="Body"/>
      </w:pPr>
      <w:r>
        <w:t>Presentación:14.6.2023</w:t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PE751.201v01-00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PE751.201v01-00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PE751.201v01-00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https://www.lighthousereports.com/investigation/the-crotone-cover-up/</w:t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https://www.europarl.europa.eu/doceo/document/E-9-2023-000909-ASW_ES.html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https://multimedia.europarl.europa.eu/es/webstreaming/20230523-0900-COMMITTEE-LIBE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20230803-102009-000528-218377</vt:lpwstr>
  </property>
</Properties>
</file>