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3 -->
  <w:body>
    <w:p>
      <w:pPr>
        <w:pStyle w:val="Arial10"/>
      </w:pPr>
      <w:r w:rsidR="00A77B3E">
        <w:rPr>
          <w:rStyle w:val="Bold"/>
        </w:rPr>
        <w:t>Pregunta con solicitud de respuesta escrita E-001623/2023</w:t>
      </w:r>
    </w:p>
    <w:p>
      <w:pPr>
        <w:pStyle w:val="Arial10"/>
      </w:pPr>
      <w:r>
        <w:rPr>
          <w:rStyle w:val="Bold"/>
        </w:rPr>
        <w:t>a la Comisión</w:t>
      </w:r>
    </w:p>
    <w:p>
      <w:pPr>
        <w:pStyle w:val="Arial10"/>
      </w:pPr>
      <w:r>
        <w:t>Artículo 138 del Reglamento interno</w:t>
      </w:r>
    </w:p>
    <w:p>
      <w:pPr>
        <w:pStyle w:val="Arial10After10"/>
      </w:pPr>
      <w:r>
        <w:rPr>
          <w:rStyle w:val="Bold"/>
        </w:rPr>
        <w:t>Irène Tolleret</w:t>
      </w:r>
      <w:r>
        <w:t xml:space="preserve"> (</w:t>
      </w:r>
      <w:r>
        <w:t>Renew</w:t>
      </w:r>
      <w:r>
        <w:t xml:space="preserve">), </w:t>
      </w:r>
      <w:r>
        <w:rPr>
          <w:rStyle w:val="Bold"/>
        </w:rPr>
        <w:t>Álvaro Amaro</w:t>
      </w:r>
      <w:r>
        <w:t xml:space="preserve"> (</w:t>
      </w:r>
      <w:r>
        <w:t>PPE</w:t>
      </w:r>
      <w:r>
        <w:t xml:space="preserve">), </w:t>
      </w:r>
      <w:r>
        <w:rPr>
          <w:rStyle w:val="Bold"/>
        </w:rPr>
        <w:t>Karen Melchior</w:t>
      </w:r>
      <w:r>
        <w:t xml:space="preserve"> (</w:t>
      </w:r>
      <w:r>
        <w:t>Renew</w:t>
      </w:r>
      <w:r>
        <w:t xml:space="preserve">), </w:t>
      </w:r>
      <w:r>
        <w:rPr>
          <w:rStyle w:val="Bold"/>
        </w:rPr>
        <w:t>Carmen Avram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Pierre Larrouturou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Sarah Wiener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Anne Sander</w:t>
      </w:r>
      <w:r>
        <w:t xml:space="preserve"> (</w:t>
      </w:r>
      <w:r>
        <w:t>PPE</w:t>
      </w:r>
      <w:r>
        <w:t xml:space="preserve">), </w:t>
      </w:r>
      <w:r>
        <w:rPr>
          <w:rStyle w:val="Bold"/>
        </w:rPr>
        <w:t>Eric Andrieu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Salima Yenbou</w:t>
      </w:r>
      <w:r>
        <w:t xml:space="preserve"> (</w:t>
      </w:r>
      <w:r>
        <w:t>Renew</w:t>
      </w:r>
      <w:r>
        <w:t xml:space="preserve">), </w:t>
      </w:r>
      <w:r>
        <w:rPr>
          <w:rStyle w:val="Bold"/>
        </w:rPr>
        <w:t>Katarína Roth Neveďalová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Fabienne Keller</w:t>
      </w:r>
      <w:r>
        <w:t xml:space="preserve"> (</w:t>
      </w:r>
      <w:r>
        <w:t>Renew</w:t>
      </w:r>
      <w:r>
        <w:t xml:space="preserve">), </w:t>
      </w:r>
      <w:r>
        <w:rPr>
          <w:rStyle w:val="Bold"/>
        </w:rPr>
        <w:t>Michaela Šojdrová</w:t>
      </w:r>
      <w:r>
        <w:t xml:space="preserve"> (</w:t>
      </w:r>
      <w:r>
        <w:t>PPE</w:t>
      </w:r>
      <w:r>
        <w:t xml:space="preserve">), </w:t>
      </w:r>
      <w:r>
        <w:rPr>
          <w:rStyle w:val="Bold"/>
        </w:rPr>
        <w:t>Pär Holmgren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Herbert Dorfmann</w:t>
      </w:r>
      <w:r>
        <w:t xml:space="preserve"> (</w:t>
      </w:r>
      <w:r>
        <w:t>PPE</w:t>
      </w:r>
      <w:r>
        <w:t xml:space="preserve">), </w:t>
      </w:r>
      <w:r>
        <w:rPr>
          <w:rStyle w:val="Bold"/>
        </w:rPr>
        <w:t>Eugenia Rodríguez Palop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Atidzhe Alieva-Veli</w:t>
      </w:r>
      <w:r>
        <w:t xml:space="preserve"> (</w:t>
      </w:r>
      <w:r>
        <w:t>Renew</w:t>
      </w:r>
      <w:r>
        <w:t xml:space="preserve">), </w:t>
      </w:r>
      <w:r>
        <w:rPr>
          <w:rStyle w:val="Bold"/>
        </w:rPr>
        <w:t>Klemen Grošelj</w:t>
      </w:r>
      <w:r>
        <w:t xml:space="preserve"> (</w:t>
      </w:r>
      <w:r>
        <w:t>Renew</w:t>
      </w:r>
      <w:r>
        <w:t xml:space="preserve">), </w:t>
      </w:r>
      <w:r>
        <w:rPr>
          <w:rStyle w:val="Bold"/>
        </w:rPr>
        <w:t>Stéphanie Yon-Courtin</w:t>
      </w:r>
      <w:r>
        <w:t xml:space="preserve"> (</w:t>
      </w:r>
      <w:r>
        <w:t>Renew</w:t>
      </w:r>
      <w:r>
        <w:t xml:space="preserve">), </w:t>
      </w:r>
      <w:r>
        <w:rPr>
          <w:rStyle w:val="Bold"/>
        </w:rPr>
        <w:t>Emmanuel Maurel</w:t>
      </w:r>
      <w:r>
        <w:t xml:space="preserve"> (</w:t>
      </w:r>
      <w:r>
        <w:t>The Left</w:t>
      </w:r>
      <w:r>
        <w:t>)</w:t>
      </w:r>
    </w:p>
    <w:p>
      <w:pPr>
        <w:pStyle w:val="Subject"/>
      </w:pPr>
      <w:r>
        <w:t>Asunto</w:t>
      </w:r>
      <w:r>
        <w:t>:</w:t>
      </w:r>
      <w:r>
        <w:tab/>
      </w:r>
      <w:r>
        <w:t>Alianzas de minoristas</w:t>
      </w:r>
    </w:p>
    <w:p>
      <w:pPr>
        <w:pStyle w:val="Body"/>
      </w:pPr>
      <w:r>
        <w:t>Desde 2015, diputados al Parlamento Europeo de todos los grupos políticos y países han expresado su preocupación por las importantes alianzas establecidas por el sector minorista a escalas nacional y europea (véanse la pregunta E-003761/2016 y las Resoluciones del Parlamento Europeo, de 9 de junio de 2021, sobre la política de competencia: Informe anual de 2020 y, de 5 de mayo de 2022, sobre la política de competencia: informe anual de 2021). El considerable poder de mercado que ejercen estas coaliciones de minoristas puede dar lugar a prácticas contrarias a la competencia, ilegales o desleales, a veces eludiendo las leyes nacionales obligatorias. Estas prácticas son perjudiciales para todos los demás agentes de la cadena de valor, pues socavan la remuneración justa de los agricultores y ponen en peligro la transición hacia procesos de producción y fabricación más respetuosos con el medio ambiente. Los consumidores quieren productos que sean lo más baratos posible, pero a un precio justo y sostenible para los operadores de la cadena alimentaria, a fin de garantizar un equilibrio duradero y sostenible.</w:t>
      </w:r>
    </w:p>
    <w:p>
      <w:pPr>
        <w:pStyle w:val="itemList"/>
      </w:pPr>
      <w:r>
        <w:t>1.</w:t>
      </w:r>
      <w:r>
        <w:tab/>
      </w:r>
      <w:r>
        <w:t>¿Supervisa la nueva red de autoridades de ejecución creada por la Directiva europea relativa a las prácticas comerciales desleales en la cadena de suministro alimentario las actividades de estas alianzas?</w:t>
      </w:r>
    </w:p>
    <w:p>
      <w:pPr>
        <w:pStyle w:val="itemList"/>
      </w:pPr>
      <w:r>
        <w:t>2.</w:t>
      </w:r>
      <w:r>
        <w:tab/>
      </w:r>
      <w:r>
        <w:t>¿Está considerando la Comisión ampliar el ámbito de aplicación de la Directiva europea relativa a las prácticas comerciales desleales en el contexto de su revisión de 2025 para garantizar que abarque las actividades de las alianzas de minoristas?</w:t>
      </w:r>
    </w:p>
    <w:p>
      <w:pPr>
        <w:pStyle w:val="itemList"/>
      </w:pPr>
      <w:r>
        <w:t>3.</w:t>
      </w:r>
      <w:r>
        <w:tab/>
      </w:r>
      <w:r>
        <w:t>¿Podría facilitar más detalles sobre las investigaciones de la DG COMP relativa a tres alianzas internacionales en el sector minorista, mencionadas en su Informe sobre la política de competencia 2022?</w:t>
      </w:r>
    </w:p>
    <w:p>
      <w:pPr>
        <w:pStyle w:val="Body"/>
      </w:pPr>
      <w:r>
        <w:t>Presentación:23.5.2023</w:t>
      </w:r>
    </w:p>
    <w:sectPr>
      <w:footerReference w:type="even" r:id="rId4"/>
      <w:footerReference w:type="default" r:id="rId5"/>
      <w:footerReference w:type="first" r:id="rId6"/>
      <w:pgSz w:w="11906" w:h="16838"/>
      <w:pgMar w:top="1440" w:right="1440" w:bottom="2000" w:left="1440" w:header="568" w:footer="568" w:gutter="0"/>
      <w:cols w:num="1"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PE749.514v01-00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PE749.514v01-00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PE749.514v01-00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B3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FootnoteReference">
    <w:name w:val="footnote reference"/>
    <w:rsid w:val="00782D12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effect w:val="none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6F6"/>
    <w:pPr>
      <w:tabs>
        <w:tab w:val="clear" w:pos="425"/>
        <w:tab w:val="clear" w:pos="851"/>
        <w:tab w:val="clear" w:pos="1276"/>
        <w:tab w:val="center" w:pos="4536"/>
        <w:tab w:val="right" w:pos="9072"/>
      </w:tabs>
      <w:spacing w:before="240"/>
    </w:pPr>
    <w:rPr>
      <w:snapToGrid w:val="0"/>
      <w:sz w:val="22"/>
    </w:rPr>
  </w:style>
  <w:style w:type="character" w:styleId="PageNumber">
    <w:name w:val="page number"/>
    <w:basedOn w:val="DefaultParagraphFont"/>
  </w:style>
  <w:style w:type="paragraph" w:styleId="FootnoteText">
    <w:name w:val="footnote text"/>
    <w:semiHidden/>
    <w:rsid w:val="003D124A"/>
    <w:pPr>
      <w:tabs>
        <w:tab w:val="left" w:pos="284"/>
      </w:tabs>
      <w:ind w:left="284" w:hanging="284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CD005F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344A81"/>
    <w:rPr>
      <w:rFonts w:ascii="Arial" w:hAnsi="Arial"/>
      <w:b/>
      <w:sz w:val="20"/>
    </w:rPr>
  </w:style>
  <w:style w:type="character" w:customStyle="1" w:styleId="Heading1Char">
    <w:name w:val="Heading 1 Char"/>
    <w:basedOn w:val="DefaultParagraphFont"/>
    <w:link w:val="Heading1"/>
    <w:rsid w:val="004B331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en-US"/>
    </w:rPr>
  </w:style>
  <w:style w:type="paragraph" w:customStyle="1" w:styleId="Arial10">
    <w:name w:val="Arial10"/>
    <w:qFormat/>
    <w:rsid w:val="003A12E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E6344"/>
    <w:rPr>
      <w:color w:val="0000FF"/>
      <w:u w:val="single"/>
    </w:rPr>
  </w:style>
  <w:style w:type="paragraph" w:customStyle="1" w:styleId="Arial10After10">
    <w:name w:val="Arial10After10"/>
    <w:basedOn w:val="Arial10"/>
    <w:qFormat/>
    <w:rsid w:val="008E6344"/>
    <w:pPr>
      <w:spacing w:after="200"/>
    </w:pPr>
  </w:style>
  <w:style w:type="paragraph" w:customStyle="1" w:styleId="Subject">
    <w:name w:val="Subject"/>
    <w:basedOn w:val="Arial10"/>
    <w:qFormat/>
    <w:rsid w:val="00E275FC"/>
    <w:pPr>
      <w:tabs>
        <w:tab w:val="left" w:pos="1134"/>
      </w:tabs>
      <w:spacing w:after="240"/>
      <w:ind w:left="1134" w:hanging="1134"/>
    </w:pPr>
  </w:style>
  <w:style w:type="paragraph" w:customStyle="1" w:styleId="Body">
    <w:name w:val="Body"/>
    <w:qFormat/>
    <w:rsid w:val="006822FA"/>
    <w:pPr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customStyle="1" w:styleId="LeftHanging">
    <w:name w:val="LeftHanging"/>
    <w:qFormat/>
    <w:rsid w:val="00BD0F1F"/>
    <w:pPr>
      <w:spacing w:before="240"/>
      <w:ind w:left="425" w:hanging="425"/>
    </w:pPr>
    <w:rPr>
      <w:rFonts w:ascii="Arial" w:hAnsi="Arial"/>
    </w:rPr>
  </w:style>
  <w:style w:type="paragraph" w:customStyle="1" w:styleId="LeftHangingAfter">
    <w:name w:val="LeftHangingAfter"/>
    <w:basedOn w:val="LeftHanging"/>
    <w:qFormat/>
    <w:rsid w:val="00AB7C55"/>
    <w:pPr>
      <w:spacing w:before="0"/>
    </w:pPr>
  </w:style>
  <w:style w:type="paragraph" w:customStyle="1" w:styleId="itemList">
    <w:name w:val="itemList"/>
    <w:qFormat/>
    <w:rsid w:val="005024D7"/>
    <w:pPr>
      <w:tabs>
        <w:tab w:val="left" w:pos="425"/>
        <w:tab w:val="left" w:pos="851"/>
        <w:tab w:val="left" w:pos="1276"/>
      </w:tabs>
      <w:spacing w:after="240"/>
      <w:ind w:left="425" w:hanging="425"/>
    </w:pPr>
    <w:rPr>
      <w:rFonts w:ascii="Arial" w:hAnsi="Arial"/>
    </w:rPr>
  </w:style>
  <w:style w:type="paragraph" w:customStyle="1" w:styleId="Supporter">
    <w:name w:val="Supporter"/>
    <w:basedOn w:val="Body"/>
    <w:qFormat/>
    <w:rsid w:val="00CD50AF"/>
    <w:pPr>
      <w:spacing w:before="840"/>
    </w:pPr>
  </w:style>
  <w:style w:type="paragraph" w:customStyle="1" w:styleId="Footer2">
    <w:name w:val="Footer2"/>
    <w:basedOn w:val="Normal"/>
    <w:link w:val="Footer2Char"/>
    <w:qFormat/>
    <w:rsid w:val="000B4A67"/>
    <w:pPr>
      <w:tabs>
        <w:tab w:val="clear" w:pos="425"/>
        <w:tab w:val="clear" w:pos="851"/>
        <w:tab w:val="clear" w:pos="1276"/>
        <w:tab w:val="center" w:pos="4536"/>
        <w:tab w:val="right" w:pos="9923"/>
      </w:tabs>
      <w:ind w:left="-851" w:right="-851"/>
    </w:pPr>
    <w:rPr>
      <w:sz w:val="48"/>
    </w:rPr>
  </w:style>
  <w:style w:type="character" w:customStyle="1" w:styleId="Footer2Lang">
    <w:name w:val="Footer2Lang"/>
    <w:uiPriority w:val="1"/>
    <w:qFormat/>
    <w:rsid w:val="000B4A67"/>
    <w:rPr>
      <w:rFonts w:ascii="Arial" w:hAnsi="Arial"/>
      <w:b/>
      <w:sz w:val="48"/>
    </w:rPr>
  </w:style>
  <w:style w:type="character" w:customStyle="1" w:styleId="Footer2Char">
    <w:name w:val="Footer2 Char"/>
    <w:basedOn w:val="DefaultParagraphFont"/>
    <w:link w:val="Footer2"/>
    <w:rsid w:val="000B4A67"/>
    <w:rPr>
      <w:rFonts w:ascii="Arial" w:hAnsi="Arial"/>
      <w:sz w:val="48"/>
    </w:rPr>
  </w:style>
  <w:style w:type="character" w:customStyle="1" w:styleId="Footer2Middle">
    <w:name w:val="Footer2Middle"/>
    <w:uiPriority w:val="1"/>
    <w:qFormat/>
    <w:rsid w:val="000B4A67"/>
    <w:rPr>
      <w:rFonts w:ascii="Arial" w:hAnsi="Arial"/>
      <w:i/>
      <w:color w:val="BFBFBF" w:themeColor="background1" w:themeShade="BF"/>
      <w:sz w:val="22"/>
    </w:rPr>
  </w:style>
  <w:style w:type="paragraph" w:customStyle="1" w:styleId="SessionDocument">
    <w:name w:val="SessionDocument"/>
    <w:qFormat/>
    <w:rsid w:val="00F63011"/>
    <w:pPr>
      <w:jc w:val="center"/>
    </w:pPr>
    <w:rPr>
      <w:rFonts w:ascii="Arial" w:hAnsi="Arial"/>
      <w:i/>
      <w:sz w:val="22"/>
    </w:rPr>
  </w:style>
  <w:style w:type="paragraph" w:customStyle="1" w:styleId="LineBottom">
    <w:name w:val="LineBottom"/>
    <w:qFormat/>
    <w:rsid w:val="00C01FA6"/>
    <w:pPr>
      <w:pBdr>
        <w:bottom w:val="single" w:sz="4" w:space="1" w:color="auto"/>
      </w:pBdr>
      <w:spacing w:after="1080"/>
      <w:jc w:val="center"/>
    </w:pPr>
    <w:rPr>
      <w:rFonts w:ascii="Arial" w:hAnsi="Arial"/>
      <w:sz w:val="16"/>
    </w:rPr>
  </w:style>
  <w:style w:type="paragraph" w:customStyle="1" w:styleId="LineTop">
    <w:name w:val="LineTop"/>
    <w:next w:val="SessionDocument"/>
    <w:qFormat/>
    <w:rsid w:val="00884286"/>
    <w:pPr>
      <w:pBdr>
        <w:top w:val="single" w:sz="4" w:space="1" w:color="auto"/>
      </w:pBdr>
    </w:pPr>
    <w:rPr>
      <w:rFonts w:ascii="Arial" w:hAnsi="Arial"/>
      <w:sz w:val="16"/>
    </w:rPr>
  </w:style>
  <w:style w:type="paragraph" w:customStyle="1" w:styleId="EPLogo">
    <w:name w:val="EPLogo"/>
    <w:basedOn w:val="Normal"/>
    <w:qFormat/>
    <w:rsid w:val="00A05278"/>
    <w:pPr>
      <w:jc w:val="right"/>
    </w:pPr>
  </w:style>
  <w:style w:type="paragraph" w:customStyle="1" w:styleId="EPName">
    <w:name w:val="EPName"/>
    <w:basedOn w:val="Normal"/>
    <w:qFormat/>
    <w:rsid w:val="00475435"/>
    <w:pPr>
      <w:spacing w:before="80" w:after="80"/>
    </w:pPr>
    <w:rPr>
      <w:rFonts w:ascii="Arial Narrow" w:hAnsi="Arial Narrow"/>
      <w:b/>
      <w:color w:val="000000" w:themeColor="text1"/>
      <w:sz w:val="32"/>
    </w:rPr>
  </w:style>
  <w:style w:type="paragraph" w:customStyle="1" w:styleId="EPTerm">
    <w:name w:val="EPTerm"/>
    <w:basedOn w:val="Normal"/>
    <w:next w:val="Normal"/>
    <w:qFormat/>
    <w:rsid w:val="00475435"/>
    <w:pPr>
      <w:spacing w:after="80"/>
    </w:pPr>
  </w:style>
  <w:style w:type="paragraph" w:customStyle="1" w:styleId="Arial10Date">
    <w:name w:val="Arial10Date"/>
    <w:basedOn w:val="Arial10"/>
    <w:qFormat/>
    <w:rsid w:val="00E258AE"/>
    <w:pPr>
      <w:tabs>
        <w:tab w:val="left" w:pos="0"/>
        <w:tab w:val="right" w:pos="9072"/>
      </w:tabs>
      <w:spacing w:after="400"/>
    </w:pPr>
  </w:style>
  <w:style w:type="character" w:customStyle="1" w:styleId="HideTWBExt">
    <w:name w:val="HideTWBExt"/>
    <w:uiPriority w:val="1"/>
    <w:qFormat/>
    <w:rsid w:val="00DC6131"/>
    <w:rPr>
      <w:rFonts w:ascii="Arial" w:hAnsi="Arial"/>
      <w:vanish/>
      <w:color w:val="1F497D" w:themeColor="text2"/>
      <w:sz w:val="20"/>
    </w:rPr>
  </w:style>
  <w:style w:type="character" w:customStyle="1" w:styleId="Italic">
    <w:name w:val="Italic"/>
    <w:uiPriority w:val="1"/>
    <w:qFormat/>
    <w:rsid w:val="00644428"/>
    <w:rPr>
      <w:i/>
    </w:rPr>
  </w:style>
  <w:style w:type="character" w:customStyle="1" w:styleId="Sub">
    <w:name w:val="Sub"/>
    <w:uiPriority w:val="1"/>
    <w:qFormat/>
    <w:rsid w:val="00776240"/>
    <w:rPr>
      <w:vertAlign w:val="subscript"/>
    </w:rPr>
  </w:style>
  <w:style w:type="character" w:customStyle="1" w:styleId="Sup">
    <w:name w:val="Sup"/>
    <w:uiPriority w:val="1"/>
    <w:qFormat/>
    <w:rsid w:val="00776240"/>
    <w:rPr>
      <w:vertAlign w:val="superscript"/>
    </w:rPr>
  </w:style>
  <w:style w:type="character" w:customStyle="1" w:styleId="ItalicSub">
    <w:name w:val="ItalicSub"/>
    <w:uiPriority w:val="1"/>
    <w:qFormat/>
    <w:rsid w:val="00776240"/>
    <w:rPr>
      <w:i/>
      <w:vertAlign w:val="subscript"/>
    </w:rPr>
  </w:style>
  <w:style w:type="character" w:customStyle="1" w:styleId="ItalicSup">
    <w:name w:val="ItalicSup"/>
    <w:uiPriority w:val="1"/>
    <w:qFormat/>
    <w:rsid w:val="00776240"/>
    <w:rPr>
      <w:i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 con solicitud de respuesta escrita</dc:title>
  <dc:creator>e-Parliament@europarl.europa.eu</dc:creator>
  <cp:lastModifiedBy>e-Parliament@europarl.europa.eu</cp:lastModifiedBy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XMLUID">
    <vt:lpwstr>20230707-081023-006501-180251</vt:lpwstr>
  </property>
</Properties>
</file>