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3 -->
  <w:body>
    <w:p>
      <w:pPr>
        <w:pStyle w:val="Arial10"/>
      </w:pPr>
      <w:r w:rsidR="00A77B3E">
        <w:rPr>
          <w:rStyle w:val="Bold"/>
        </w:rPr>
        <w:t>Pregunta con solicitud de respuesta escrita E-002762/2021</w:t>
      </w:r>
    </w:p>
    <w:p>
      <w:pPr>
        <w:pStyle w:val="Arial10"/>
      </w:pPr>
      <w:r>
        <w:rPr>
          <w:rStyle w:val="Bold"/>
        </w:rPr>
        <w:t>a la Comisión</w:t>
      </w:r>
    </w:p>
    <w:p>
      <w:pPr>
        <w:pStyle w:val="Arial10"/>
      </w:pPr>
      <w:r>
        <w:t>Artículo 138 del Reglamento interno</w:t>
      </w:r>
    </w:p>
    <w:p>
      <w:pPr>
        <w:pStyle w:val="Arial10After10"/>
      </w:pPr>
      <w:r>
        <w:rPr>
          <w:rStyle w:val="Bold"/>
        </w:rPr>
        <w:t>Ernest Urtasun</w:t>
      </w:r>
      <w:r>
        <w:t xml:space="preserve"> (</w:t>
      </w:r>
      <w:r>
        <w:t>Verts/ALE</w:t>
      </w:r>
      <w:r>
        <w:t xml:space="preserve">), </w:t>
      </w:r>
      <w:r>
        <w:rPr>
          <w:rStyle w:val="Bold"/>
        </w:rPr>
        <w:t>Manu Pineda</w:t>
      </w:r>
      <w:r>
        <w:t xml:space="preserve"> (</w:t>
      </w:r>
      <w:r>
        <w:t>The Left</w:t>
      </w:r>
      <w:r>
        <w:t xml:space="preserve">), </w:t>
      </w:r>
      <w:r>
        <w:rPr>
          <w:rStyle w:val="Bold"/>
        </w:rPr>
        <w:t>Sira Rego</w:t>
      </w:r>
      <w:r>
        <w:t xml:space="preserve"> (</w:t>
      </w:r>
      <w:r>
        <w:t>The Left</w:t>
      </w:r>
      <w:r>
        <w:t xml:space="preserve">), </w:t>
      </w:r>
      <w:r>
        <w:rPr>
          <w:rStyle w:val="Bold"/>
        </w:rPr>
        <w:t>Eugenia Rodríguez Palop</w:t>
      </w:r>
      <w:r>
        <w:t xml:space="preserve"> (</w:t>
      </w:r>
      <w:r>
        <w:t>The Left</w:t>
      </w:r>
      <w:r>
        <w:t xml:space="preserve">), </w:t>
      </w:r>
      <w:r>
        <w:rPr>
          <w:rStyle w:val="Bold"/>
        </w:rPr>
        <w:t>Idoia Villanueva Ruiz</w:t>
      </w:r>
      <w:r>
        <w:t xml:space="preserve"> (</w:t>
      </w:r>
      <w:r>
        <w:t>The Left</w:t>
      </w:r>
      <w:r>
        <w:t>)</w:t>
      </w:r>
    </w:p>
    <w:p>
      <w:pPr>
        <w:pStyle w:val="Subject"/>
      </w:pPr>
      <w:r>
        <w:t>Asunto</w:t>
      </w:r>
      <w:r>
        <w:t>:</w:t>
      </w:r>
      <w:r>
        <w:tab/>
      </w:r>
      <w:r>
        <w:t>Caza de aves en un espacio protegido de la provincia de Ourense</w:t>
      </w:r>
    </w:p>
    <w:p>
      <w:pPr>
        <w:pStyle w:val="Body"/>
      </w:pPr>
      <w:r>
        <w:t>La Xunta de Galicia autoriza cada año acciones de caza en la ZEPA de A Limia, un espacio que también engloba el LIC de Veiga de Ponteliñares. En estas cacerías se permite la llamada «media veda», pudiéndose disparar a distintas aves, a pesar de las advertencias que vienen haciendo entidades conservacionistas. Uno de los animales que pueden sufrir estas acciones de caza irregular es la tórtola europea, en grave declive poblacional. La propia Comisión ha abierto un expediente sancionador por estos hechos a España, incluido un dictamen motivado en diciembre de 2020</w:t>
      </w:r>
      <w:r>
        <w:rPr>
          <w:rStyle w:val="FootnoteReference"/>
        </w:rPr>
        <w:footnoteReference w:id="0"/>
      </w:r>
      <w:r>
        <w:t>.</w:t>
      </w:r>
    </w:p>
    <w:p>
      <w:pPr>
        <w:pStyle w:val="Body"/>
      </w:pPr>
      <w:r>
        <w:t>La caza con plomo es considerada un peligro para las aves y uno de los principales motivos de envenenamiento de estas especies a causa de la ingesta accidental. No parece congruente el uso de munición de plomo en una ZEPA o LIC, ni conforme con el Reglamento (UE) 2021/57</w:t>
      </w:r>
      <w:r>
        <w:rPr>
          <w:rStyle w:val="FootnoteReference"/>
        </w:rPr>
        <w:footnoteReference w:id="1"/>
      </w:r>
      <w:r>
        <w:t>, que limita su uso en humedales.</w:t>
      </w:r>
    </w:p>
    <w:p>
      <w:pPr>
        <w:pStyle w:val="Body"/>
      </w:pPr>
      <w:r>
        <w:t>¿Tiene la Comisión prevista alguna acción para frenar la caza en el espacio protegido de A Limia? ¿Se plantea la Comisión investigar el problema del saturnismo en espacios de especial protección para las aves en Galicia? ¿Qué medidas piensa implementar la Comisión para evitar incumplimientos en Galicia de la Directiva 2009/147/CE</w:t>
      </w:r>
      <w:r>
        <w:rPr>
          <w:rStyle w:val="FootnoteReference"/>
        </w:rPr>
        <w:footnoteReference w:id="2"/>
      </w:r>
      <w:r>
        <w:t xml:space="preserve"> y del Reglamento (UE) 2021/57?</w:t>
      </w:r>
    </w:p>
    <w:sectPr>
      <w:footerReference w:type="even" r:id="rId5"/>
      <w:footerReference w:type="default" r:id="rId6"/>
      <w:footerReference w:type="first" r:id="rId7"/>
      <w:pgSz w:w="11906" w:h="16838"/>
      <w:pgMar w:top="1440" w:right="1440" w:bottom="2000" w:left="1440" w:header="568" w:footer="568" w:gutter="0"/>
      <w:cols w:num="1"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PE693.526v01-00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PE693.526v01-00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PE693.526v01-00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pPr>
        <w:pStyle w:val="FootnoteText"/>
      </w:pPr>
      <w:r>
        <w:rPr>
          <w:rStyle w:val="FootnoteReference"/>
        </w:rPr>
        <w:footnoteRef/>
      </w:r>
      <w:r>
        <w:t xml:space="preserve"> </w:t>
      </w:r>
      <w:r>
        <w:tab/>
      </w:r>
      <w:r>
        <w:t>https://ec.europa.eu/commission/presscorner/detail/es/inf_20_2142</w:t>
      </w:r>
    </w:p>
  </w:footnote>
  <w:footnote w:id="1">
    <w:p>
      <w:pPr>
        <w:pStyle w:val="FootnoteText"/>
      </w:pPr>
      <w:r>
        <w:rPr>
          <w:rStyle w:val="FootnoteReference"/>
        </w:rPr>
        <w:footnoteRef/>
      </w:r>
      <w:r>
        <w:t xml:space="preserve"> </w:t>
      </w:r>
      <w:r>
        <w:tab/>
      </w:r>
      <w:r>
        <w:t>https://eur-lex.europa.eu/legal-content/ES/TXT/?uri=CELEX%3A32021R0057</w:t>
      </w:r>
    </w:p>
  </w:footnote>
  <w:footnote w:id="2">
    <w:p>
      <w:pPr>
        <w:pStyle w:val="FootnoteText"/>
      </w:pPr>
      <w:r>
        <w:rPr>
          <w:rStyle w:val="FootnoteReference"/>
        </w:rPr>
        <w:footnoteRef/>
      </w:r>
      <w:r>
        <w:t xml:space="preserve"> </w:t>
      </w:r>
      <w:r>
        <w:tab/>
      </w:r>
      <w:r>
        <w:t>https://eur-lex.europa.eu/legal-content/ES/TXT/?uri=CELEX%3A32009L0147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425"/>
        <w:tab w:val="left" w:pos="851"/>
        <w:tab w:val="left" w:pos="1276"/>
      </w:tabs>
      <w:spacing w:after="240"/>
    </w:pPr>
    <w:rPr>
      <w:rFonts w:ascii="Arial" w:hAnsi="Arial"/>
    </w:rPr>
  </w:style>
  <w:style w:type="paragraph" w:styleId="Heading1">
    <w:name w:val="heading 1"/>
    <w:basedOn w:val="Normal"/>
    <w:next w:val="Normal"/>
    <w:link w:val="Heading1Char"/>
    <w:qFormat/>
    <w:rsid w:val="004B3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rsid w:val="00782D12"/>
    <w:rPr>
      <w:rFonts w:ascii="Arial" w:hAnsi="Arial" w:cs="Arial"/>
      <w:b w:val="0"/>
      <w:i w:val="0"/>
      <w:caps w:val="0"/>
      <w:smallCaps w:val="0"/>
      <w:strike w:val="0"/>
      <w:dstrike w:val="0"/>
      <w:vanish w:val="0"/>
      <w:color w:val="auto"/>
      <w:spacing w:val="0"/>
      <w:w w:val="100"/>
      <w:kern w:val="0"/>
      <w:position w:val="0"/>
      <w:sz w:val="18"/>
      <w:u w:val="none"/>
      <w:effect w:val="none"/>
      <w:vertAlign w:val="superscript"/>
    </w:rPr>
  </w:style>
  <w:style w:type="paragraph" w:styleId="Header">
    <w:name w:val="header"/>
    <w:basedOn w:val="Normal"/>
    <w:pPr>
      <w:tabs>
        <w:tab w:val="center" w:pos="4153"/>
        <w:tab w:val="right" w:pos="8306"/>
      </w:tabs>
    </w:pPr>
  </w:style>
  <w:style w:type="paragraph" w:styleId="Footer">
    <w:name w:val="footer"/>
    <w:basedOn w:val="Normal"/>
    <w:rsid w:val="00F816F6"/>
    <w:pPr>
      <w:tabs>
        <w:tab w:val="clear" w:pos="425"/>
        <w:tab w:val="clear" w:pos="851"/>
        <w:tab w:val="clear" w:pos="1276"/>
        <w:tab w:val="center" w:pos="4536"/>
        <w:tab w:val="right" w:pos="9072"/>
      </w:tabs>
      <w:spacing w:before="240"/>
    </w:pPr>
    <w:rPr>
      <w:snapToGrid w:val="0"/>
      <w:sz w:val="22"/>
    </w:rPr>
  </w:style>
  <w:style w:type="character" w:styleId="PageNumber">
    <w:name w:val="page number"/>
    <w:basedOn w:val="DefaultParagraphFont"/>
  </w:style>
  <w:style w:type="paragraph" w:styleId="FootnoteText">
    <w:name w:val="footnote text"/>
    <w:semiHidden/>
    <w:rsid w:val="003D124A"/>
    <w:pPr>
      <w:tabs>
        <w:tab w:val="left" w:pos="284"/>
      </w:tabs>
      <w:ind w:left="284" w:hanging="284"/>
    </w:pPr>
    <w:rPr>
      <w:rFonts w:ascii="Arial" w:hAnsi="Arial"/>
      <w:sz w:val="18"/>
    </w:rPr>
  </w:style>
  <w:style w:type="paragraph" w:styleId="BalloonText">
    <w:name w:val="Balloon Text"/>
    <w:basedOn w:val="Normal"/>
    <w:semiHidden/>
    <w:rsid w:val="00CD005F"/>
    <w:rPr>
      <w:rFonts w:ascii="Tahoma" w:hAnsi="Tahoma" w:cs="Tahoma"/>
      <w:sz w:val="16"/>
      <w:szCs w:val="16"/>
    </w:rPr>
  </w:style>
  <w:style w:type="character" w:customStyle="1" w:styleId="Bold">
    <w:name w:val="Bold"/>
    <w:basedOn w:val="DefaultParagraphFont"/>
    <w:uiPriority w:val="1"/>
    <w:qFormat/>
    <w:rsid w:val="00344A81"/>
    <w:rPr>
      <w:rFonts w:ascii="Arial" w:hAnsi="Arial"/>
      <w:b/>
      <w:sz w:val="20"/>
    </w:rPr>
  </w:style>
  <w:style w:type="character" w:customStyle="1" w:styleId="Heading1Char">
    <w:name w:val="Heading 1 Char"/>
    <w:basedOn w:val="DefaultParagraphFont"/>
    <w:link w:val="Heading1"/>
    <w:rsid w:val="004B3311"/>
    <w:rPr>
      <w:rFonts w:asciiTheme="majorHAnsi" w:eastAsiaTheme="majorEastAsia" w:hAnsiTheme="majorHAnsi" w:cstheme="majorBidi"/>
      <w:b/>
      <w:bCs/>
      <w:snapToGrid w:val="0"/>
      <w:color w:val="365F91" w:themeColor="accent1" w:themeShade="BF"/>
      <w:sz w:val="28"/>
      <w:szCs w:val="28"/>
      <w:lang w:eastAsia="en-US"/>
    </w:rPr>
  </w:style>
  <w:style w:type="paragraph" w:customStyle="1" w:styleId="Arial10">
    <w:name w:val="Arial10"/>
    <w:qFormat/>
    <w:rsid w:val="003A12E2"/>
    <w:rPr>
      <w:rFonts w:ascii="Arial" w:hAnsi="Arial"/>
    </w:rPr>
  </w:style>
  <w:style w:type="character" w:styleId="Hyperlink">
    <w:name w:val="Hyperlink"/>
    <w:basedOn w:val="DefaultParagraphFont"/>
    <w:uiPriority w:val="99"/>
    <w:unhideWhenUsed/>
    <w:rsid w:val="008E6344"/>
    <w:rPr>
      <w:color w:val="0000FF"/>
      <w:u w:val="single"/>
    </w:rPr>
  </w:style>
  <w:style w:type="paragraph" w:customStyle="1" w:styleId="Arial10After10">
    <w:name w:val="Arial10After10"/>
    <w:basedOn w:val="Arial10"/>
    <w:qFormat/>
    <w:rsid w:val="008E6344"/>
    <w:pPr>
      <w:spacing w:after="200"/>
    </w:pPr>
  </w:style>
  <w:style w:type="paragraph" w:customStyle="1" w:styleId="Subject">
    <w:name w:val="Subject"/>
    <w:basedOn w:val="Arial10"/>
    <w:qFormat/>
    <w:rsid w:val="00E275FC"/>
    <w:pPr>
      <w:tabs>
        <w:tab w:val="left" w:pos="1134"/>
      </w:tabs>
      <w:spacing w:after="240"/>
      <w:ind w:left="1134" w:hanging="1134"/>
    </w:pPr>
  </w:style>
  <w:style w:type="paragraph" w:customStyle="1" w:styleId="Body">
    <w:name w:val="Body"/>
    <w:qFormat/>
    <w:rsid w:val="006822FA"/>
    <w:pPr>
      <w:tabs>
        <w:tab w:val="left" w:pos="425"/>
        <w:tab w:val="left" w:pos="851"/>
        <w:tab w:val="left" w:pos="1276"/>
      </w:tabs>
      <w:spacing w:after="240"/>
    </w:pPr>
    <w:rPr>
      <w:rFonts w:ascii="Arial" w:hAnsi="Arial"/>
    </w:rPr>
  </w:style>
  <w:style w:type="paragraph" w:customStyle="1" w:styleId="LeftHanging">
    <w:name w:val="LeftHanging"/>
    <w:qFormat/>
    <w:rsid w:val="00BD0F1F"/>
    <w:pPr>
      <w:spacing w:before="240"/>
      <w:ind w:left="425" w:hanging="425"/>
    </w:pPr>
    <w:rPr>
      <w:rFonts w:ascii="Arial" w:hAnsi="Arial"/>
    </w:rPr>
  </w:style>
  <w:style w:type="paragraph" w:customStyle="1" w:styleId="LeftHangingAfter">
    <w:name w:val="LeftHangingAfter"/>
    <w:basedOn w:val="LeftHanging"/>
    <w:qFormat/>
    <w:rsid w:val="00AB7C55"/>
    <w:pPr>
      <w:spacing w:before="0"/>
    </w:pPr>
  </w:style>
  <w:style w:type="paragraph" w:customStyle="1" w:styleId="itemList">
    <w:name w:val="itemList"/>
    <w:qFormat/>
    <w:rsid w:val="005024D7"/>
    <w:pPr>
      <w:tabs>
        <w:tab w:val="left" w:pos="425"/>
        <w:tab w:val="left" w:pos="851"/>
        <w:tab w:val="left" w:pos="1276"/>
      </w:tabs>
      <w:spacing w:after="240"/>
      <w:ind w:left="425" w:hanging="425"/>
    </w:pPr>
    <w:rPr>
      <w:rFonts w:ascii="Arial" w:hAnsi="Arial"/>
    </w:rPr>
  </w:style>
  <w:style w:type="paragraph" w:customStyle="1" w:styleId="Supporter">
    <w:name w:val="Supporter"/>
    <w:basedOn w:val="Body"/>
    <w:qFormat/>
    <w:rsid w:val="00CD50AF"/>
    <w:pPr>
      <w:spacing w:before="840"/>
    </w:pPr>
  </w:style>
  <w:style w:type="paragraph" w:customStyle="1" w:styleId="Footer2">
    <w:name w:val="Footer2"/>
    <w:basedOn w:val="Normal"/>
    <w:link w:val="Footer2Char"/>
    <w:qFormat/>
    <w:rsid w:val="000B4A67"/>
    <w:pPr>
      <w:tabs>
        <w:tab w:val="clear" w:pos="425"/>
        <w:tab w:val="clear" w:pos="851"/>
        <w:tab w:val="clear" w:pos="1276"/>
        <w:tab w:val="center" w:pos="4536"/>
        <w:tab w:val="right" w:pos="9923"/>
      </w:tabs>
      <w:ind w:left="-851" w:right="-851"/>
    </w:pPr>
    <w:rPr>
      <w:sz w:val="48"/>
    </w:rPr>
  </w:style>
  <w:style w:type="character" w:customStyle="1" w:styleId="Footer2Lang">
    <w:name w:val="Footer2Lang"/>
    <w:uiPriority w:val="1"/>
    <w:qFormat/>
    <w:rsid w:val="000B4A67"/>
    <w:rPr>
      <w:rFonts w:ascii="Arial" w:hAnsi="Arial"/>
      <w:b/>
      <w:sz w:val="48"/>
    </w:rPr>
  </w:style>
  <w:style w:type="character" w:customStyle="1" w:styleId="Footer2Char">
    <w:name w:val="Footer2 Char"/>
    <w:basedOn w:val="DefaultParagraphFont"/>
    <w:link w:val="Footer2"/>
    <w:rsid w:val="000B4A67"/>
    <w:rPr>
      <w:rFonts w:ascii="Arial" w:hAnsi="Arial"/>
      <w:sz w:val="48"/>
    </w:rPr>
  </w:style>
  <w:style w:type="character" w:customStyle="1" w:styleId="Footer2Middle">
    <w:name w:val="Footer2Middle"/>
    <w:uiPriority w:val="1"/>
    <w:qFormat/>
    <w:rsid w:val="000B4A67"/>
    <w:rPr>
      <w:rFonts w:ascii="Arial" w:hAnsi="Arial"/>
      <w:i/>
      <w:color w:val="BFBFBF" w:themeColor="background1" w:themeShade="BF"/>
      <w:sz w:val="22"/>
    </w:rPr>
  </w:style>
  <w:style w:type="paragraph" w:customStyle="1" w:styleId="SessionDocument">
    <w:name w:val="SessionDocument"/>
    <w:qFormat/>
    <w:rsid w:val="00F63011"/>
    <w:pPr>
      <w:jc w:val="center"/>
    </w:pPr>
    <w:rPr>
      <w:rFonts w:ascii="Arial" w:hAnsi="Arial"/>
      <w:i/>
      <w:sz w:val="22"/>
    </w:rPr>
  </w:style>
  <w:style w:type="paragraph" w:customStyle="1" w:styleId="LineBottom">
    <w:name w:val="LineBottom"/>
    <w:qFormat/>
    <w:rsid w:val="00C01FA6"/>
    <w:pPr>
      <w:pBdr>
        <w:bottom w:val="single" w:sz="4" w:space="1" w:color="auto"/>
      </w:pBdr>
      <w:spacing w:after="1080"/>
      <w:jc w:val="center"/>
    </w:pPr>
    <w:rPr>
      <w:rFonts w:ascii="Arial" w:hAnsi="Arial"/>
      <w:sz w:val="16"/>
    </w:rPr>
  </w:style>
  <w:style w:type="paragraph" w:customStyle="1" w:styleId="LineTop">
    <w:name w:val="LineTop"/>
    <w:next w:val="SessionDocument"/>
    <w:qFormat/>
    <w:rsid w:val="00884286"/>
    <w:pPr>
      <w:pBdr>
        <w:top w:val="single" w:sz="4" w:space="1" w:color="auto"/>
      </w:pBdr>
    </w:pPr>
    <w:rPr>
      <w:rFonts w:ascii="Arial" w:hAnsi="Arial"/>
      <w:sz w:val="16"/>
    </w:rPr>
  </w:style>
  <w:style w:type="paragraph" w:customStyle="1" w:styleId="EPLogo">
    <w:name w:val="EPLogo"/>
    <w:basedOn w:val="Normal"/>
    <w:qFormat/>
    <w:rsid w:val="00A05278"/>
    <w:pPr>
      <w:jc w:val="right"/>
    </w:pPr>
  </w:style>
  <w:style w:type="paragraph" w:customStyle="1" w:styleId="EPName">
    <w:name w:val="EPName"/>
    <w:basedOn w:val="Normal"/>
    <w:qFormat/>
    <w:rsid w:val="00475435"/>
    <w:pPr>
      <w:spacing w:before="80" w:after="80"/>
    </w:pPr>
    <w:rPr>
      <w:rFonts w:ascii="Arial Narrow" w:hAnsi="Arial Narrow"/>
      <w:b/>
      <w:color w:val="000000" w:themeColor="text1"/>
      <w:sz w:val="32"/>
    </w:rPr>
  </w:style>
  <w:style w:type="paragraph" w:customStyle="1" w:styleId="EPTerm">
    <w:name w:val="EPTerm"/>
    <w:basedOn w:val="Normal"/>
    <w:next w:val="Normal"/>
    <w:qFormat/>
    <w:rsid w:val="00475435"/>
    <w:pPr>
      <w:spacing w:after="80"/>
    </w:pPr>
  </w:style>
  <w:style w:type="paragraph" w:customStyle="1" w:styleId="Arial10Date">
    <w:name w:val="Arial10Date"/>
    <w:basedOn w:val="Arial10"/>
    <w:qFormat/>
    <w:rsid w:val="00E258AE"/>
    <w:pPr>
      <w:tabs>
        <w:tab w:val="left" w:pos="0"/>
        <w:tab w:val="right" w:pos="9072"/>
      </w:tabs>
      <w:spacing w:after="400"/>
    </w:pPr>
  </w:style>
  <w:style w:type="character" w:customStyle="1" w:styleId="HideTWBExt">
    <w:name w:val="HideTWBExt"/>
    <w:uiPriority w:val="1"/>
    <w:qFormat/>
    <w:rsid w:val="00DC6131"/>
    <w:rPr>
      <w:rFonts w:ascii="Arial" w:hAnsi="Arial"/>
      <w:vanish/>
      <w:color w:val="1F497D" w:themeColor="text2"/>
      <w:sz w:val="20"/>
    </w:rPr>
  </w:style>
  <w:style w:type="character" w:customStyle="1" w:styleId="Italic">
    <w:name w:val="Italic"/>
    <w:uiPriority w:val="1"/>
    <w:qFormat/>
    <w:rsid w:val="00644428"/>
    <w:rPr>
      <w:i/>
    </w:rPr>
  </w:style>
  <w:style w:type="character" w:customStyle="1" w:styleId="Sub">
    <w:name w:val="Sub"/>
    <w:uiPriority w:val="1"/>
    <w:qFormat/>
    <w:rsid w:val="00776240"/>
    <w:rPr>
      <w:vertAlign w:val="subscript"/>
    </w:rPr>
  </w:style>
  <w:style w:type="character" w:customStyle="1" w:styleId="Sup">
    <w:name w:val="Sup"/>
    <w:uiPriority w:val="1"/>
    <w:qFormat/>
    <w:rsid w:val="00776240"/>
    <w:rPr>
      <w:vertAlign w:val="superscript"/>
    </w:rPr>
  </w:style>
  <w:style w:type="character" w:customStyle="1" w:styleId="ItalicSub">
    <w:name w:val="ItalicSub"/>
    <w:uiPriority w:val="1"/>
    <w:qFormat/>
    <w:rsid w:val="00776240"/>
    <w:rPr>
      <w:i/>
      <w:vertAlign w:val="subscript"/>
    </w:rPr>
  </w:style>
  <w:style w:type="character" w:customStyle="1" w:styleId="ItalicSup">
    <w:name w:val="ItalicSup"/>
    <w:uiPriority w:val="1"/>
    <w:qFormat/>
    <w:rsid w:val="00776240"/>
    <w:rPr>
      <w:i/>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Pregunta con solicitud de respuesta escrita</dc:title>
  <dc:creator>e-Parliament@europarl.europa.eu</dc:creator>
  <cp:lastModifiedBy>e-Parliament@europarl.europa.eu</cp:lastModifiedBy>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XMLUID">
    <vt:lpwstr>20210719-145022-259278-642321</vt:lpwstr>
  </property>
</Properties>
</file>